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tabs>
          <w:tab w:val="left" w:pos="1276" w:leader="none"/>
        </w:tabs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733"/>
        <w:jc w:val="right"/>
        <w:spacing w:after="0" w:line="276" w:lineRule="auto"/>
        <w:rPr>
          <w:sz w:val="22"/>
          <w:szCs w:val="22"/>
        </w:rPr>
      </w:pPr>
      <w:r>
        <w:rPr>
          <w:sz w:val="22"/>
          <w:szCs w:val="22"/>
        </w:rPr>
        <w:t xml:space="preserve">Приложение №</w:t>
      </w:r>
      <w:r>
        <w:rPr>
          <w:sz w:val="22"/>
          <w:szCs w:val="22"/>
        </w:rPr>
        <w:t xml:space="preserve">2</w:t>
      </w:r>
      <w:r>
        <w:rPr>
          <w:sz w:val="22"/>
          <w:szCs w:val="22"/>
        </w:rPr>
      </w:r>
    </w:p>
    <w:p>
      <w:pPr>
        <w:pStyle w:val="733"/>
        <w:jc w:val="right"/>
        <w:spacing w:after="0" w:line="276" w:lineRule="auto"/>
        <w:rPr>
          <w:sz w:val="22"/>
          <w:szCs w:val="22"/>
        </w:rPr>
      </w:pPr>
      <w:r>
        <w:rPr>
          <w:sz w:val="22"/>
          <w:szCs w:val="22"/>
        </w:rPr>
        <w:t xml:space="preserve">к Договору подряда №________ </w:t>
      </w:r>
      <w:r>
        <w:rPr>
          <w:sz w:val="22"/>
          <w:szCs w:val="22"/>
        </w:rPr>
      </w:r>
    </w:p>
    <w:p>
      <w:pPr>
        <w:pStyle w:val="733"/>
        <w:jc w:val="right"/>
        <w:spacing w:after="0" w:line="276" w:lineRule="auto"/>
        <w:rPr>
          <w:sz w:val="22"/>
          <w:szCs w:val="22"/>
        </w:rPr>
      </w:pPr>
      <w:r>
        <w:rPr>
          <w:sz w:val="22"/>
          <w:szCs w:val="22"/>
        </w:rPr>
        <w:t xml:space="preserve">от «____» __________ 202</w:t>
      </w:r>
      <w:r>
        <w:rPr>
          <w:sz w:val="22"/>
          <w:szCs w:val="22"/>
        </w:rPr>
        <w:t xml:space="preserve">6</w:t>
      </w:r>
      <w:r>
        <w:rPr>
          <w:sz w:val="22"/>
          <w:szCs w:val="22"/>
        </w:rPr>
        <w:t xml:space="preserve">г.</w:t>
      </w:r>
      <w:r>
        <w:rPr>
          <w:sz w:val="22"/>
          <w:szCs w:val="22"/>
        </w:rPr>
      </w:r>
    </w:p>
    <w:p>
      <w:pPr>
        <w:pStyle w:val="733"/>
        <w:jc w:val="right"/>
        <w:spacing w:after="0"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</w:r>
    </w:p>
    <w:p>
      <w:pPr>
        <w:ind w:right="-24" w:firstLine="709"/>
        <w:jc w:val="right"/>
        <w:tabs>
          <w:tab w:val="left" w:pos="720" w:leader="none"/>
          <w:tab w:val="left" w:pos="1276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5100" w:leader="none"/>
        </w:tabs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</w:r>
      <w:r>
        <w:rPr>
          <w:b/>
          <w:bCs/>
          <w:sz w:val="20"/>
          <w:szCs w:val="20"/>
        </w:rPr>
      </w:r>
    </w:p>
    <w:p>
      <w:pPr>
        <w:ind w:right="-24" w:firstLine="709"/>
        <w:jc w:val="center"/>
        <w:tabs>
          <w:tab w:val="left" w:pos="720" w:leader="none"/>
          <w:tab w:val="left" w:pos="1276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5100" w:leader="none"/>
        </w:tabs>
        <w:rPr>
          <w:b/>
          <w:bCs/>
        </w:rPr>
      </w:pPr>
      <w:r>
        <w:rPr>
          <w:b/>
          <w:bCs/>
        </w:rPr>
        <w:t xml:space="preserve">План - г</w:t>
      </w:r>
      <w:r>
        <w:rPr>
          <w:b/>
          <w:bCs/>
        </w:rPr>
        <w:t xml:space="preserve">рафик выполнения работ</w:t>
      </w:r>
      <w:r>
        <w:rPr>
          <w:b/>
          <w:bCs/>
        </w:rPr>
      </w:r>
    </w:p>
    <w:p>
      <w:pPr>
        <w:ind w:right="-24" w:firstLine="709"/>
        <w:jc w:val="center"/>
        <w:tabs>
          <w:tab w:val="left" w:pos="720" w:leader="none"/>
          <w:tab w:val="left" w:pos="1276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5100" w:leader="none"/>
        </w:tabs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</w:r>
      <w:r>
        <w:rPr>
          <w:b/>
          <w:bCs/>
          <w:sz w:val="20"/>
          <w:szCs w:val="20"/>
        </w:rPr>
      </w:r>
    </w:p>
    <w:p>
      <w:pPr>
        <w:jc w:val="center"/>
        <w:rPr>
          <w:sz w:val="20"/>
          <w:szCs w:val="20"/>
        </w:rPr>
      </w:pPr>
      <w:r>
        <w:rPr>
          <w:rFonts w:cs="Calibri"/>
          <w:color w:val="000000"/>
          <w:sz w:val="20"/>
          <w:szCs w:val="20"/>
          <w:lang w:eastAsia="ar-SA"/>
        </w:rPr>
        <w:t xml:space="preserve">«Выполнение</w:t>
      </w:r>
      <w:r>
        <w:rPr>
          <w:rFonts w:cs="Calibri"/>
          <w:sz w:val="20"/>
          <w:szCs w:val="20"/>
          <w:lang w:eastAsia="ar-SA"/>
        </w:rPr>
        <w:t xml:space="preserve"> проектно-изыскательских и строительно-монтажных работ (методом «под ключ») </w:t>
      </w:r>
      <w:r>
        <w:rPr>
          <w:rFonts w:cs="Calibri"/>
          <w:sz w:val="20"/>
          <w:szCs w:val="20"/>
          <w:lang w:eastAsia="ar-SA"/>
        </w:rPr>
        <w:t xml:space="preserve">для </w:t>
      </w:r>
      <w:r>
        <w:rPr>
          <w:color w:val="000000"/>
          <w:sz w:val="20"/>
          <w:szCs w:val="20"/>
        </w:rPr>
        <w:t xml:space="preserve">строительства кабельных ЛЭП-0,4-10 кВ и ТП 10/0,4 кВ </w:t>
      </w:r>
      <w:r>
        <w:rPr>
          <w:rFonts w:cs="Calibri"/>
          <w:sz w:val="20"/>
          <w:szCs w:val="20"/>
          <w:lang w:eastAsia="ar-SA"/>
        </w:rPr>
        <w:t xml:space="preserve">в целях осуществления </w:t>
      </w:r>
      <w:r>
        <w:rPr>
          <w:color w:val="000000"/>
          <w:sz w:val="20"/>
          <w:szCs w:val="20"/>
        </w:rPr>
        <w:t xml:space="preserve">технологического присоединения энергопринимающих устройств заявителя</w:t>
      </w:r>
      <w:r>
        <w:rPr>
          <w:color w:val="000000"/>
          <w:sz w:val="20"/>
          <w:szCs w:val="20"/>
        </w:rPr>
        <w:t xml:space="preserve">:</w:t>
      </w:r>
      <w:r>
        <w:rPr>
          <w:color w:val="00000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«М</w:t>
      </w:r>
      <w:r>
        <w:rPr>
          <w:color w:val="000000"/>
          <w:sz w:val="20"/>
          <w:szCs w:val="20"/>
        </w:rPr>
        <w:t xml:space="preserve">ногоквартирный жилой дом №8 и многоквартирный жилой дом №9, по адресу: Новосибирская область, г. Новосибирск, ул. Титова, (кадастровый номер </w:t>
      </w:r>
      <w:r>
        <w:rPr>
          <w:color w:val="000000"/>
          <w:sz w:val="20"/>
          <w:szCs w:val="20"/>
        </w:rPr>
        <w:t xml:space="preserve">земельного участка</w:t>
      </w:r>
      <w:r>
        <w:rPr>
          <w:color w:val="000000"/>
          <w:sz w:val="20"/>
          <w:szCs w:val="20"/>
        </w:rPr>
        <w:t xml:space="preserve"> 54:35:062555:99) </w:t>
      </w:r>
      <w:r>
        <w:rPr>
          <w:rFonts w:cs="Calibri"/>
          <w:sz w:val="20"/>
          <w:szCs w:val="20"/>
          <w:lang w:eastAsia="ar-SA"/>
        </w:rPr>
        <w:t xml:space="preserve">для Общества с ограниченной ответственностью «Сибирские электросети»</w:t>
      </w:r>
      <w:r>
        <w:rPr>
          <w:sz w:val="20"/>
          <w:szCs w:val="20"/>
        </w:rPr>
      </w:r>
    </w:p>
    <w:p>
      <w:pPr>
        <w:ind w:right="-24" w:firstLine="709"/>
        <w:jc w:val="right"/>
        <w:tabs>
          <w:tab w:val="left" w:pos="720" w:leader="none"/>
          <w:tab w:val="left" w:pos="1276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5100" w:leader="none"/>
        </w:tabs>
        <w:rPr>
          <w:bCs/>
          <w:sz w:val="20"/>
          <w:szCs w:val="20"/>
        </w:rPr>
      </w:pP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tbl>
      <w:tblPr>
        <w:tblW w:w="957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534"/>
        <w:gridCol w:w="4251"/>
        <w:gridCol w:w="1419"/>
        <w:gridCol w:w="3335"/>
        <w:gridCol w:w="32"/>
      </w:tblGrid>
      <w:tr>
        <w:tblPrEx/>
        <w:trPr>
          <w:gridAfter w:val="1"/>
        </w:trPr>
        <w:tc>
          <w:tcPr>
            <w:tcW w:w="534" w:type="dxa"/>
            <w:vAlign w:val="center"/>
            <w:textDirection w:val="lrTb"/>
            <w:noWrap w:val="false"/>
          </w:tcPr>
          <w:p>
            <w:pPr>
              <w:ind w:right="-24"/>
              <w:jc w:val="center"/>
              <w:tabs>
                <w:tab w:val="left" w:pos="720" w:leader="none"/>
                <w:tab w:val="left" w:pos="1276" w:leader="none"/>
                <w:tab w:val="left" w:pos="1440" w:leader="none"/>
                <w:tab w:val="left" w:pos="2160" w:leader="none"/>
                <w:tab w:val="left" w:pos="2880" w:leader="none"/>
                <w:tab w:val="left" w:pos="3600" w:leader="none"/>
                <w:tab w:val="left" w:pos="5100" w:leader="none"/>
              </w:tabs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№ п/п</w:t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gridSpan w:val="2"/>
            <w:tcW w:w="5670" w:type="dxa"/>
            <w:vAlign w:val="center"/>
            <w:textDirection w:val="lrTb"/>
            <w:noWrap w:val="false"/>
          </w:tcPr>
          <w:p>
            <w:pPr>
              <w:ind w:right="-24"/>
              <w:jc w:val="center"/>
              <w:tabs>
                <w:tab w:val="left" w:pos="720" w:leader="none"/>
                <w:tab w:val="left" w:pos="1276" w:leader="none"/>
                <w:tab w:val="left" w:pos="1440" w:leader="none"/>
                <w:tab w:val="left" w:pos="2160" w:leader="none"/>
                <w:tab w:val="left" w:pos="2880" w:leader="none"/>
                <w:tab w:val="left" w:pos="3600" w:leader="none"/>
                <w:tab w:val="left" w:pos="5100" w:leader="none"/>
              </w:tabs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Этапы производства </w:t>
            </w:r>
            <w:r>
              <w:rPr>
                <w:b/>
                <w:bCs/>
                <w:sz w:val="20"/>
                <w:szCs w:val="20"/>
              </w:rPr>
              <w:t xml:space="preserve">работ</w:t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3335" w:type="dxa"/>
            <w:vAlign w:val="center"/>
            <w:textDirection w:val="lrTb"/>
            <w:noWrap w:val="false"/>
          </w:tcPr>
          <w:p>
            <w:pPr>
              <w:ind w:right="-24"/>
              <w:jc w:val="center"/>
              <w:tabs>
                <w:tab w:val="left" w:pos="720" w:leader="none"/>
                <w:tab w:val="left" w:pos="1276" w:leader="none"/>
                <w:tab w:val="left" w:pos="1440" w:leader="none"/>
                <w:tab w:val="left" w:pos="2160" w:leader="none"/>
                <w:tab w:val="left" w:pos="2880" w:leader="none"/>
                <w:tab w:val="left" w:pos="3600" w:leader="none"/>
                <w:tab w:val="left" w:pos="5100" w:leader="none"/>
              </w:tabs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Срок выполнения работ и передачи готового результата Заказчику</w:t>
            </w:r>
            <w:r>
              <w:rPr>
                <w:b/>
                <w:bCs/>
                <w:sz w:val="20"/>
                <w:szCs w:val="20"/>
              </w:rPr>
            </w:r>
          </w:p>
        </w:tc>
      </w:tr>
      <w:tr>
        <w:tblPrEx/>
        <w:trPr>
          <w:gridAfter w:val="1"/>
        </w:trPr>
        <w:tc>
          <w:tcPr>
            <w:tcW w:w="534" w:type="dxa"/>
            <w:vAlign w:val="center"/>
            <w:textDirection w:val="lrTb"/>
            <w:noWrap w:val="false"/>
          </w:tcPr>
          <w:p>
            <w:pPr>
              <w:ind w:right="-24"/>
              <w:jc w:val="center"/>
              <w:tabs>
                <w:tab w:val="left" w:pos="720" w:leader="none"/>
                <w:tab w:val="left" w:pos="1276" w:leader="none"/>
                <w:tab w:val="left" w:pos="1440" w:leader="none"/>
                <w:tab w:val="left" w:pos="2160" w:leader="none"/>
                <w:tab w:val="left" w:pos="2880" w:leader="none"/>
                <w:tab w:val="left" w:pos="3600" w:leader="none"/>
                <w:tab w:val="left" w:pos="5100" w:leader="none"/>
              </w:tabs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1.</w:t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gridSpan w:val="2"/>
            <w:tcW w:w="5670" w:type="dxa"/>
            <w:vAlign w:val="center"/>
            <w:textDirection w:val="lrTb"/>
            <w:noWrap w:val="false"/>
          </w:tcPr>
          <w:p>
            <w:pPr>
              <w:ind w:right="-24"/>
              <w:jc w:val="both"/>
              <w:tabs>
                <w:tab w:val="left" w:pos="720" w:leader="none"/>
                <w:tab w:val="left" w:pos="1276" w:leader="none"/>
                <w:tab w:val="left" w:pos="1440" w:leader="none"/>
                <w:tab w:val="left" w:pos="2160" w:leader="none"/>
                <w:tab w:val="left" w:pos="2880" w:leader="none"/>
                <w:tab w:val="left" w:pos="3600" w:leader="none"/>
                <w:tab w:val="left" w:pos="5100" w:leader="none"/>
              </w:tabs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Изыскательские работы, разработка, согласование и утверждение </w:t>
            </w:r>
            <w:r>
              <w:rPr>
                <w:color w:val="000000"/>
                <w:sz w:val="20"/>
                <w:szCs w:val="20"/>
              </w:rPr>
              <w:t xml:space="preserve">проектной</w:t>
            </w:r>
            <w:r>
              <w:rPr>
                <w:color w:val="000000"/>
                <w:sz w:val="20"/>
                <w:szCs w:val="20"/>
              </w:rPr>
              <w:t xml:space="preserve"> документации </w:t>
            </w:r>
            <w:r>
              <w:rPr>
                <w:color w:val="000000"/>
                <w:sz w:val="20"/>
                <w:szCs w:val="20"/>
              </w:rPr>
              <w:t xml:space="preserve">электроснабжения </w:t>
            </w:r>
            <w:r>
              <w:rPr>
                <w:color w:val="000000"/>
                <w:sz w:val="20"/>
                <w:szCs w:val="20"/>
              </w:rPr>
              <w:t xml:space="preserve">объекта </w:t>
            </w:r>
            <w:r>
              <w:rPr>
                <w:rFonts w:cs="Calibri"/>
                <w:color w:val="000000"/>
                <w:sz w:val="20"/>
                <w:szCs w:val="20"/>
                <w:lang w:eastAsia="ar-SA"/>
              </w:rPr>
              <w:t xml:space="preserve">«</w:t>
            </w:r>
            <w:r>
              <w:rPr>
                <w:rFonts w:cs="Calibri"/>
                <w:color w:val="000000"/>
                <w:sz w:val="20"/>
                <w:szCs w:val="20"/>
                <w:lang w:eastAsia="ar-SA"/>
              </w:rPr>
              <w:t xml:space="preserve">М</w:t>
            </w:r>
            <w:r>
              <w:rPr>
                <w:color w:val="000000"/>
                <w:sz w:val="20"/>
                <w:szCs w:val="20"/>
              </w:rPr>
              <w:t xml:space="preserve">ногоквартирный жилой дом №8 и многоквартирный жилой дом №9</w:t>
            </w:r>
            <w:r>
              <w:rPr>
                <w:rFonts w:cs="Calibri"/>
                <w:color w:val="000000"/>
                <w:sz w:val="20"/>
                <w:szCs w:val="20"/>
                <w:lang w:eastAsia="ar-SA"/>
              </w:rPr>
              <w:t xml:space="preserve">»</w:t>
            </w:r>
            <w:r>
              <w:rPr>
                <w:color w:val="000000"/>
                <w:sz w:val="20"/>
                <w:szCs w:val="20"/>
              </w:rPr>
              <w:t xml:space="preserve"> раздел «Кабельные линии 10 кВ»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35" w:type="dxa"/>
            <w:vAlign w:val="center"/>
            <w:textDirection w:val="lrTb"/>
            <w:noWrap w:val="false"/>
          </w:tcPr>
          <w:p>
            <w:pPr>
              <w:ind w:right="-24"/>
              <w:jc w:val="center"/>
              <w:tabs>
                <w:tab w:val="left" w:pos="720" w:leader="none"/>
                <w:tab w:val="left" w:pos="1276" w:leader="none"/>
                <w:tab w:val="left" w:pos="1440" w:leader="none"/>
                <w:tab w:val="left" w:pos="2160" w:leader="none"/>
                <w:tab w:val="left" w:pos="2880" w:leader="none"/>
                <w:tab w:val="left" w:pos="3600" w:leader="none"/>
                <w:tab w:val="left" w:pos="5100" w:leader="none"/>
              </w:tabs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до </w:t>
            </w:r>
            <w:r>
              <w:rPr>
                <w:b/>
                <w:bCs/>
                <w:sz w:val="20"/>
                <w:szCs w:val="20"/>
              </w:rPr>
              <w:t xml:space="preserve">01</w:t>
            </w:r>
            <w:r>
              <w:rPr>
                <w:b/>
                <w:bCs/>
                <w:sz w:val="20"/>
                <w:szCs w:val="20"/>
              </w:rPr>
              <w:t xml:space="preserve">.0</w:t>
            </w:r>
            <w:r>
              <w:rPr>
                <w:b/>
                <w:bCs/>
                <w:sz w:val="20"/>
                <w:szCs w:val="20"/>
              </w:rPr>
              <w:t xml:space="preserve">6</w:t>
            </w:r>
            <w:r>
              <w:rPr>
                <w:b/>
                <w:bCs/>
                <w:sz w:val="20"/>
                <w:szCs w:val="20"/>
              </w:rPr>
              <w:t xml:space="preserve">.202</w:t>
            </w:r>
            <w:r>
              <w:rPr>
                <w:b/>
                <w:bCs/>
                <w:sz w:val="20"/>
                <w:szCs w:val="20"/>
              </w:rPr>
              <w:t xml:space="preserve">6</w:t>
            </w:r>
            <w:r>
              <w:rPr>
                <w:b/>
                <w:bCs/>
                <w:sz w:val="20"/>
                <w:szCs w:val="20"/>
              </w:rPr>
              <w:t xml:space="preserve">г.</w:t>
            </w:r>
            <w:r>
              <w:rPr>
                <w:b/>
                <w:bCs/>
                <w:sz w:val="20"/>
                <w:szCs w:val="20"/>
              </w:rPr>
            </w:r>
          </w:p>
        </w:tc>
      </w:tr>
      <w:tr>
        <w:tblPrEx/>
        <w:trPr>
          <w:gridAfter w:val="1"/>
        </w:trPr>
        <w:tc>
          <w:tcPr>
            <w:tcW w:w="534" w:type="dxa"/>
            <w:vAlign w:val="center"/>
            <w:textDirection w:val="lrTb"/>
            <w:noWrap w:val="false"/>
          </w:tcPr>
          <w:p>
            <w:pPr>
              <w:ind w:right="-24"/>
              <w:jc w:val="center"/>
              <w:tabs>
                <w:tab w:val="left" w:pos="720" w:leader="none"/>
                <w:tab w:val="left" w:pos="1276" w:leader="none"/>
                <w:tab w:val="left" w:pos="1440" w:leader="none"/>
                <w:tab w:val="left" w:pos="2160" w:leader="none"/>
                <w:tab w:val="left" w:pos="2880" w:leader="none"/>
                <w:tab w:val="left" w:pos="3600" w:leader="none"/>
                <w:tab w:val="left" w:pos="5100" w:leader="none"/>
              </w:tabs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2.</w:t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gridSpan w:val="2"/>
            <w:tcW w:w="5670" w:type="dxa"/>
            <w:vAlign w:val="center"/>
            <w:textDirection w:val="lrTb"/>
            <w:noWrap w:val="false"/>
          </w:tcPr>
          <w:p>
            <w:pPr>
              <w:ind w:right="-24"/>
              <w:jc w:val="both"/>
              <w:tabs>
                <w:tab w:val="left" w:pos="720" w:leader="none"/>
                <w:tab w:val="left" w:pos="1276" w:leader="none"/>
                <w:tab w:val="left" w:pos="1440" w:leader="none"/>
                <w:tab w:val="left" w:pos="2160" w:leader="none"/>
                <w:tab w:val="left" w:pos="2880" w:leader="none"/>
                <w:tab w:val="left" w:pos="3600" w:leader="none"/>
                <w:tab w:val="left" w:pos="5100" w:leader="none"/>
              </w:tabs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Строительно-монтажные работы объектов:</w:t>
            </w:r>
            <w:r>
              <w:rPr>
                <w:color w:val="000000"/>
                <w:sz w:val="20"/>
                <w:szCs w:val="20"/>
              </w:rPr>
            </w:r>
          </w:p>
          <w:p>
            <w:pPr>
              <w:jc w:val="both"/>
              <w:tabs>
                <w:tab w:val="left" w:pos="142" w:leader="none"/>
              </w:tabs>
              <w:rPr>
                <w:rFonts w:cs="Calibri"/>
                <w:sz w:val="20"/>
                <w:szCs w:val="20"/>
                <w:lang w:eastAsia="ar-SA"/>
              </w:rPr>
            </w:pPr>
            <w:r>
              <w:rPr>
                <w:rFonts w:cs="Calibri"/>
                <w:sz w:val="20"/>
                <w:szCs w:val="20"/>
                <w:lang w:eastAsia="ar-SA"/>
              </w:rPr>
              <w:t xml:space="preserve">- </w:t>
            </w:r>
            <w:r>
              <w:rPr>
                <w:rFonts w:eastAsiaTheme="minorHAnsi"/>
                <w:bCs/>
                <w:sz w:val="20"/>
                <w:szCs w:val="20"/>
                <w:lang w:eastAsia="en-US"/>
              </w:rPr>
              <w:t xml:space="preserve">чет</w:t>
            </w:r>
            <w:r>
              <w:rPr>
                <w:rFonts w:eastAsiaTheme="minorHAnsi"/>
                <w:bCs/>
                <w:sz w:val="20"/>
                <w:szCs w:val="20"/>
                <w:lang w:eastAsia="en-US"/>
              </w:rPr>
              <w:t xml:space="preserve">ыре кабельных ЛЭП-10 кВ, прокладываемые методом горизонтального наклонного бурения, многожильные с бумажной изоляцией сечением провода от 100 до 200 мм2 включительно с двумя трубами в скважине в сторону вновь установленной ТП-10/0,4 кВ протяженностью 260 м</w:t>
            </w:r>
            <w:r>
              <w:rPr>
                <w:rFonts w:cs="Calibri"/>
                <w:sz w:val="20"/>
                <w:szCs w:val="20"/>
                <w:lang w:eastAsia="ar-SA"/>
              </w:rPr>
              <w:t xml:space="preserve">,</w:t>
            </w:r>
            <w:r>
              <w:rPr>
                <w:sz w:val="20"/>
                <w:szCs w:val="20"/>
              </w:rPr>
              <w:t xml:space="preserve"> с резервированием согласно ПУЭ 2.3.104</w:t>
            </w:r>
            <w:r>
              <w:rPr>
                <w:rFonts w:cs="Calibri"/>
                <w:sz w:val="20"/>
                <w:szCs w:val="20"/>
                <w:lang w:eastAsia="ar-SA"/>
              </w:rPr>
              <w:t xml:space="preserve">;</w:t>
            </w:r>
            <w:r>
              <w:rPr>
                <w:rFonts w:cs="Calibri"/>
                <w:sz w:val="20"/>
                <w:szCs w:val="20"/>
                <w:lang w:eastAsia="ar-SA"/>
              </w:rPr>
            </w:r>
          </w:p>
          <w:p>
            <w:pPr>
              <w:ind w:right="-24"/>
              <w:jc w:val="both"/>
              <w:tabs>
                <w:tab w:val="left" w:pos="720" w:leader="none"/>
                <w:tab w:val="left" w:pos="1276" w:leader="none"/>
                <w:tab w:val="left" w:pos="1440" w:leader="none"/>
                <w:tab w:val="left" w:pos="2160" w:leader="none"/>
                <w:tab w:val="left" w:pos="2880" w:leader="none"/>
                <w:tab w:val="left" w:pos="3600" w:leader="none"/>
                <w:tab w:val="left" w:pos="5100" w:leader="none"/>
              </w:tabs>
              <w:rPr>
                <w:color w:val="000000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  <w:lang w:eastAsia="ar-SA"/>
              </w:rPr>
              <w:t xml:space="preserve">- </w:t>
            </w:r>
            <w:r>
              <w:rPr>
                <w:rFonts w:eastAsiaTheme="minorHAnsi"/>
                <w:bCs/>
                <w:sz w:val="20"/>
                <w:szCs w:val="20"/>
                <w:lang w:eastAsia="en-US"/>
              </w:rPr>
              <w:t xml:space="preserve">трех кабельных ЛЭП-10 кВ в траншеях многожильные с бумажной изоляцией сечением провода от 100 до 200 мм2 включительно с одним кабелем в траншее до вновь установленной ТП-10/0,4 кВ протяженностью 465 м</w:t>
            </w:r>
            <w:r>
              <w:rPr>
                <w:rFonts w:cs="Calibri"/>
                <w:sz w:val="20"/>
                <w:szCs w:val="20"/>
                <w:lang w:eastAsia="ar-SA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35" w:type="dxa"/>
            <w:vAlign w:val="center"/>
            <w:textDirection w:val="lrTb"/>
            <w:noWrap w:val="false"/>
          </w:tcPr>
          <w:p>
            <w:pPr>
              <w:ind w:right="-24"/>
              <w:jc w:val="center"/>
              <w:tabs>
                <w:tab w:val="left" w:pos="720" w:leader="none"/>
                <w:tab w:val="left" w:pos="1276" w:leader="none"/>
                <w:tab w:val="left" w:pos="1440" w:leader="none"/>
                <w:tab w:val="left" w:pos="2160" w:leader="none"/>
                <w:tab w:val="left" w:pos="2880" w:leader="none"/>
                <w:tab w:val="left" w:pos="3600" w:leader="none"/>
                <w:tab w:val="left" w:pos="5100" w:leader="none"/>
              </w:tabs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до 30.0</w:t>
            </w:r>
            <w:r>
              <w:rPr>
                <w:b/>
                <w:bCs/>
                <w:sz w:val="20"/>
                <w:szCs w:val="20"/>
              </w:rPr>
              <w:t xml:space="preserve">7</w:t>
            </w:r>
            <w:r>
              <w:rPr>
                <w:b/>
                <w:bCs/>
                <w:sz w:val="20"/>
                <w:szCs w:val="20"/>
              </w:rPr>
              <w:t xml:space="preserve">.202</w:t>
            </w:r>
            <w:r>
              <w:rPr>
                <w:b/>
                <w:bCs/>
                <w:sz w:val="20"/>
                <w:szCs w:val="20"/>
              </w:rPr>
              <w:t xml:space="preserve">6</w:t>
            </w:r>
            <w:r>
              <w:rPr>
                <w:b/>
                <w:bCs/>
                <w:sz w:val="20"/>
                <w:szCs w:val="20"/>
              </w:rPr>
              <w:t xml:space="preserve">г.</w:t>
            </w:r>
            <w:r>
              <w:rPr>
                <w:b/>
                <w:bCs/>
                <w:sz w:val="20"/>
                <w:szCs w:val="20"/>
              </w:rPr>
            </w:r>
          </w:p>
        </w:tc>
      </w:tr>
      <w:tr>
        <w:tblPrEx/>
        <w:trPr>
          <w:gridAfter w:val="1"/>
        </w:trPr>
        <w:tc>
          <w:tcPr>
            <w:tcW w:w="534" w:type="dxa"/>
            <w:vAlign w:val="center"/>
            <w:textDirection w:val="lrTb"/>
            <w:noWrap w:val="false"/>
          </w:tcPr>
          <w:p>
            <w:pPr>
              <w:ind w:right="-24"/>
              <w:jc w:val="center"/>
              <w:tabs>
                <w:tab w:val="left" w:pos="720" w:leader="none"/>
                <w:tab w:val="left" w:pos="1276" w:leader="none"/>
                <w:tab w:val="left" w:pos="1440" w:leader="none"/>
                <w:tab w:val="left" w:pos="2160" w:leader="none"/>
                <w:tab w:val="left" w:pos="2880" w:leader="none"/>
                <w:tab w:val="left" w:pos="3600" w:leader="none"/>
                <w:tab w:val="left" w:pos="5100" w:leader="none"/>
              </w:tabs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3</w:t>
            </w:r>
            <w:r>
              <w:rPr>
                <w:b/>
                <w:bCs/>
                <w:sz w:val="20"/>
                <w:szCs w:val="20"/>
              </w:rPr>
              <w:t xml:space="preserve">.</w:t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gridSpan w:val="2"/>
            <w:tcW w:w="5670" w:type="dxa"/>
            <w:vAlign w:val="center"/>
            <w:textDirection w:val="lrTb"/>
            <w:noWrap w:val="false"/>
          </w:tcPr>
          <w:p>
            <w:pPr>
              <w:ind w:right="-24"/>
              <w:jc w:val="both"/>
              <w:tabs>
                <w:tab w:val="left" w:pos="720" w:leader="none"/>
                <w:tab w:val="left" w:pos="1276" w:leader="none"/>
                <w:tab w:val="left" w:pos="1440" w:leader="none"/>
                <w:tab w:val="left" w:pos="2160" w:leader="none"/>
                <w:tab w:val="left" w:pos="2880" w:leader="none"/>
                <w:tab w:val="left" w:pos="3600" w:leader="none"/>
                <w:tab w:val="left" w:pos="5100" w:leader="none"/>
              </w:tabs>
              <w:rPr>
                <w:b/>
                <w:bCs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Изыскательские работы, р</w:t>
            </w:r>
            <w:r>
              <w:rPr>
                <w:color w:val="000000"/>
                <w:sz w:val="20"/>
                <w:szCs w:val="20"/>
              </w:rPr>
              <w:t xml:space="preserve">азработка, согласование и утверждение </w:t>
            </w:r>
            <w:r>
              <w:rPr>
                <w:color w:val="000000"/>
                <w:sz w:val="20"/>
                <w:szCs w:val="20"/>
              </w:rPr>
              <w:t xml:space="preserve">проектной</w:t>
            </w:r>
            <w:r>
              <w:rPr>
                <w:color w:val="000000"/>
                <w:sz w:val="20"/>
                <w:szCs w:val="20"/>
              </w:rPr>
              <w:t xml:space="preserve"> документации </w:t>
            </w:r>
            <w:r>
              <w:rPr>
                <w:color w:val="000000"/>
                <w:sz w:val="20"/>
                <w:szCs w:val="20"/>
              </w:rPr>
              <w:t xml:space="preserve">электроснабжения </w:t>
            </w:r>
            <w:r>
              <w:rPr>
                <w:color w:val="000000"/>
                <w:sz w:val="20"/>
                <w:szCs w:val="20"/>
              </w:rPr>
              <w:t xml:space="preserve">объекта </w:t>
            </w:r>
            <w:r>
              <w:rPr>
                <w:rFonts w:cs="Calibri"/>
                <w:color w:val="000000"/>
                <w:sz w:val="20"/>
                <w:szCs w:val="20"/>
                <w:lang w:eastAsia="ar-SA"/>
              </w:rPr>
              <w:t xml:space="preserve">«</w:t>
            </w:r>
            <w:r>
              <w:rPr>
                <w:rFonts w:cs="Calibri"/>
                <w:color w:val="000000"/>
                <w:sz w:val="20"/>
                <w:szCs w:val="20"/>
                <w:lang w:eastAsia="ar-SA"/>
              </w:rPr>
              <w:t xml:space="preserve">М</w:t>
            </w:r>
            <w:r>
              <w:rPr>
                <w:color w:val="000000"/>
                <w:sz w:val="20"/>
                <w:szCs w:val="20"/>
              </w:rPr>
              <w:t xml:space="preserve">ногоквартирный жилой дом №8 и многоквартирный жилой дом №9</w:t>
            </w:r>
            <w:r>
              <w:rPr>
                <w:rFonts w:cs="Calibri"/>
                <w:color w:val="000000"/>
                <w:sz w:val="20"/>
                <w:szCs w:val="20"/>
                <w:lang w:eastAsia="ar-SA"/>
              </w:rPr>
              <w:t xml:space="preserve">»</w:t>
            </w:r>
            <w:r>
              <w:rPr>
                <w:rFonts w:cs="Calibri"/>
                <w:color w:val="000000"/>
                <w:sz w:val="20"/>
                <w:szCs w:val="20"/>
                <w:lang w:eastAsia="ar-SA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 xml:space="preserve"> раздел «</w:t>
            </w:r>
            <w:r>
              <w:rPr>
                <w:color w:val="000000"/>
                <w:sz w:val="20"/>
                <w:szCs w:val="20"/>
              </w:rPr>
              <w:t xml:space="preserve">К</w:t>
            </w:r>
            <w:r>
              <w:rPr>
                <w:color w:val="000000"/>
                <w:sz w:val="20"/>
                <w:szCs w:val="20"/>
              </w:rPr>
              <w:t xml:space="preserve">омплектн</w:t>
            </w:r>
            <w:r>
              <w:rPr>
                <w:color w:val="000000"/>
                <w:sz w:val="20"/>
                <w:szCs w:val="20"/>
              </w:rPr>
              <w:t xml:space="preserve">ая</w:t>
            </w:r>
            <w:r>
              <w:rPr>
                <w:color w:val="000000"/>
                <w:sz w:val="20"/>
                <w:szCs w:val="20"/>
              </w:rPr>
              <w:t xml:space="preserve"> двухтрансформаторн</w:t>
            </w:r>
            <w:r>
              <w:rPr>
                <w:color w:val="000000"/>
                <w:sz w:val="20"/>
                <w:szCs w:val="20"/>
              </w:rPr>
              <w:t xml:space="preserve">ая</w:t>
            </w:r>
            <w:r>
              <w:rPr>
                <w:color w:val="000000"/>
                <w:sz w:val="20"/>
                <w:szCs w:val="20"/>
              </w:rPr>
              <w:t xml:space="preserve"> подстанци</w:t>
            </w:r>
            <w:r>
              <w:rPr>
                <w:color w:val="000000"/>
                <w:sz w:val="20"/>
                <w:szCs w:val="20"/>
              </w:rPr>
              <w:t xml:space="preserve">я</w:t>
            </w:r>
            <w:r>
              <w:rPr>
                <w:color w:val="000000"/>
                <w:sz w:val="20"/>
                <w:szCs w:val="20"/>
              </w:rPr>
              <w:t xml:space="preserve"> 10/0,4 кВ - </w:t>
            </w:r>
            <w:r>
              <w:rPr>
                <w:color w:val="000000"/>
                <w:sz w:val="20"/>
                <w:szCs w:val="20"/>
              </w:rPr>
              <w:t xml:space="preserve">100</w:t>
            </w:r>
            <w:r>
              <w:rPr>
                <w:color w:val="000000"/>
                <w:sz w:val="20"/>
                <w:szCs w:val="20"/>
              </w:rPr>
              <w:t xml:space="preserve">0</w:t>
            </w:r>
            <w:r>
              <w:rPr>
                <w:color w:val="000000"/>
                <w:sz w:val="20"/>
                <w:szCs w:val="20"/>
              </w:rPr>
              <w:t xml:space="preserve"> кВА</w:t>
            </w:r>
            <w:r>
              <w:rPr>
                <w:color w:val="000000"/>
                <w:sz w:val="20"/>
                <w:szCs w:val="20"/>
              </w:rPr>
              <w:t xml:space="preserve">»</w:t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3335" w:type="dxa"/>
            <w:vAlign w:val="center"/>
            <w:textDirection w:val="lrTb"/>
            <w:noWrap w:val="false"/>
          </w:tcPr>
          <w:p>
            <w:pPr>
              <w:ind w:right="-24"/>
              <w:jc w:val="center"/>
              <w:tabs>
                <w:tab w:val="left" w:pos="720" w:leader="none"/>
                <w:tab w:val="left" w:pos="1276" w:leader="none"/>
                <w:tab w:val="left" w:pos="1440" w:leader="none"/>
                <w:tab w:val="left" w:pos="2160" w:leader="none"/>
                <w:tab w:val="left" w:pos="2880" w:leader="none"/>
                <w:tab w:val="left" w:pos="3600" w:leader="none"/>
                <w:tab w:val="left" w:pos="5100" w:leader="none"/>
              </w:tabs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до </w:t>
            </w:r>
            <w:r>
              <w:rPr>
                <w:b/>
                <w:bCs/>
                <w:sz w:val="20"/>
                <w:szCs w:val="20"/>
              </w:rPr>
              <w:t xml:space="preserve">01</w:t>
            </w:r>
            <w:r>
              <w:rPr>
                <w:b/>
                <w:bCs/>
                <w:sz w:val="20"/>
                <w:szCs w:val="20"/>
              </w:rPr>
              <w:t xml:space="preserve">.0</w:t>
            </w:r>
            <w:r>
              <w:rPr>
                <w:b/>
                <w:bCs/>
                <w:sz w:val="20"/>
                <w:szCs w:val="20"/>
              </w:rPr>
              <w:t xml:space="preserve">5</w:t>
            </w:r>
            <w:r>
              <w:rPr>
                <w:b/>
                <w:bCs/>
                <w:sz w:val="20"/>
                <w:szCs w:val="20"/>
              </w:rPr>
              <w:t xml:space="preserve">.202</w:t>
            </w:r>
            <w:r>
              <w:rPr>
                <w:b/>
                <w:bCs/>
                <w:sz w:val="20"/>
                <w:szCs w:val="20"/>
              </w:rPr>
              <w:t xml:space="preserve">6</w:t>
            </w:r>
            <w:r>
              <w:rPr>
                <w:b/>
                <w:bCs/>
                <w:sz w:val="20"/>
                <w:szCs w:val="20"/>
              </w:rPr>
              <w:t xml:space="preserve">г.</w:t>
            </w:r>
            <w:r>
              <w:rPr>
                <w:b/>
                <w:bCs/>
                <w:sz w:val="20"/>
                <w:szCs w:val="20"/>
              </w:rPr>
            </w:r>
          </w:p>
        </w:tc>
      </w:tr>
      <w:tr>
        <w:tblPrEx/>
        <w:trPr>
          <w:gridAfter w:val="1"/>
        </w:trPr>
        <w:tc>
          <w:tcPr>
            <w:tcW w:w="534" w:type="dxa"/>
            <w:vAlign w:val="center"/>
            <w:textDirection w:val="lrTb"/>
            <w:noWrap w:val="false"/>
          </w:tcPr>
          <w:p>
            <w:pPr>
              <w:ind w:right="-24"/>
              <w:jc w:val="center"/>
              <w:tabs>
                <w:tab w:val="left" w:pos="720" w:leader="none"/>
                <w:tab w:val="left" w:pos="1276" w:leader="none"/>
                <w:tab w:val="left" w:pos="1440" w:leader="none"/>
                <w:tab w:val="left" w:pos="2160" w:leader="none"/>
                <w:tab w:val="left" w:pos="2880" w:leader="none"/>
                <w:tab w:val="left" w:pos="3600" w:leader="none"/>
                <w:tab w:val="left" w:pos="5100" w:leader="none"/>
              </w:tabs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4.</w:t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gridSpan w:val="2"/>
            <w:tcW w:w="5670" w:type="dxa"/>
            <w:vAlign w:val="center"/>
            <w:textDirection w:val="lrTb"/>
            <w:noWrap w:val="false"/>
          </w:tcPr>
          <w:p>
            <w:pPr>
              <w:pStyle w:val="762"/>
              <w:jc w:val="both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Строительно-монтажные работы объекта «</w:t>
            </w:r>
            <w:r>
              <w:rPr>
                <w:color w:val="000000"/>
                <w:sz w:val="20"/>
                <w:szCs w:val="20"/>
              </w:rPr>
              <w:t xml:space="preserve">К</w:t>
            </w:r>
            <w:r>
              <w:rPr>
                <w:color w:val="000000"/>
                <w:sz w:val="20"/>
                <w:szCs w:val="20"/>
              </w:rPr>
              <w:t xml:space="preserve">омплектная двухтрансформаторная  подстанция 10/0,4 кВ - </w:t>
            </w:r>
            <w:r>
              <w:rPr>
                <w:color w:val="000000"/>
                <w:sz w:val="20"/>
                <w:szCs w:val="20"/>
              </w:rPr>
              <w:t xml:space="preserve">100</w:t>
            </w:r>
            <w:r>
              <w:rPr>
                <w:color w:val="000000"/>
                <w:sz w:val="20"/>
                <w:szCs w:val="20"/>
              </w:rPr>
              <w:t xml:space="preserve">0</w:t>
            </w:r>
            <w:r>
              <w:rPr>
                <w:color w:val="000000"/>
                <w:sz w:val="20"/>
                <w:szCs w:val="20"/>
              </w:rPr>
              <w:t xml:space="preserve"> кВА по адресу: </w:t>
            </w:r>
            <w:r>
              <w:rPr>
                <w:rFonts w:cs="Calibri"/>
                <w:color w:val="000000"/>
                <w:sz w:val="20"/>
                <w:szCs w:val="20"/>
                <w:lang w:eastAsia="ar-SA"/>
              </w:rPr>
              <w:t xml:space="preserve"> </w:t>
            </w:r>
            <w:r>
              <w:rPr>
                <w:rFonts w:eastAsiaTheme="minorHAnsi"/>
                <w:bCs/>
                <w:sz w:val="20"/>
                <w:szCs w:val="20"/>
                <w:lang w:eastAsia="en-US"/>
              </w:rPr>
              <w:t xml:space="preserve">Новосибирская область, г. Новосибирск, ул. Титова, (кадастровый номер </w:t>
            </w:r>
            <w:r>
              <w:rPr>
                <w:rFonts w:eastAsiaTheme="minorHAnsi"/>
                <w:bCs/>
                <w:sz w:val="20"/>
                <w:szCs w:val="20"/>
                <w:lang w:eastAsia="en-US"/>
              </w:rPr>
              <w:t xml:space="preserve">земельного участка</w:t>
            </w:r>
            <w:r>
              <w:rPr>
                <w:rFonts w:eastAsiaTheme="minorHAnsi"/>
                <w:bCs/>
                <w:sz w:val="20"/>
                <w:szCs w:val="20"/>
                <w:lang w:eastAsia="en-US"/>
              </w:rPr>
              <w:t xml:space="preserve"> 54:35:062555:99</w:t>
            </w:r>
            <w:r>
              <w:rPr>
                <w:color w:val="000000"/>
                <w:sz w:val="20"/>
                <w:szCs w:val="20"/>
              </w:rPr>
              <w:t xml:space="preserve">».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35" w:type="dxa"/>
            <w:vAlign w:val="center"/>
            <w:textDirection w:val="lrTb"/>
            <w:noWrap w:val="false"/>
          </w:tcPr>
          <w:p>
            <w:pPr>
              <w:ind w:right="-24"/>
              <w:jc w:val="center"/>
              <w:tabs>
                <w:tab w:val="left" w:pos="720" w:leader="none"/>
                <w:tab w:val="left" w:pos="1276" w:leader="none"/>
                <w:tab w:val="left" w:pos="1440" w:leader="none"/>
                <w:tab w:val="left" w:pos="2160" w:leader="none"/>
                <w:tab w:val="left" w:pos="2880" w:leader="none"/>
                <w:tab w:val="left" w:pos="3600" w:leader="none"/>
                <w:tab w:val="left" w:pos="5100" w:leader="none"/>
              </w:tabs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</w:rPr>
              <w:t xml:space="preserve">до 30.0</w:t>
            </w:r>
            <w:r>
              <w:rPr>
                <w:b/>
                <w:bCs/>
                <w:sz w:val="20"/>
                <w:szCs w:val="20"/>
              </w:rPr>
              <w:t xml:space="preserve">6</w:t>
            </w:r>
            <w:r>
              <w:rPr>
                <w:b/>
                <w:bCs/>
                <w:sz w:val="20"/>
                <w:szCs w:val="20"/>
              </w:rPr>
              <w:t xml:space="preserve">.202</w:t>
            </w:r>
            <w:r>
              <w:rPr>
                <w:b/>
                <w:bCs/>
                <w:sz w:val="20"/>
                <w:szCs w:val="20"/>
              </w:rPr>
              <w:t xml:space="preserve">6</w:t>
            </w:r>
            <w:r>
              <w:rPr>
                <w:b/>
                <w:bCs/>
                <w:sz w:val="20"/>
                <w:szCs w:val="20"/>
              </w:rPr>
              <w:t xml:space="preserve">г.</w:t>
            </w:r>
            <w:r>
              <w:rPr>
                <w:b/>
                <w:bCs/>
                <w:sz w:val="20"/>
                <w:szCs w:val="20"/>
                <w:lang w:val="en-US"/>
              </w:rPr>
            </w:r>
          </w:p>
        </w:tc>
      </w:tr>
      <w:tr>
        <w:tblPrEx/>
        <w:trPr>
          <w:gridAfter w:val="1"/>
        </w:trPr>
        <w:tc>
          <w:tcPr>
            <w:tcW w:w="534" w:type="dxa"/>
            <w:vAlign w:val="center"/>
            <w:textDirection w:val="lrTb"/>
            <w:noWrap w:val="false"/>
          </w:tcPr>
          <w:p>
            <w:pPr>
              <w:ind w:right="-24"/>
              <w:jc w:val="center"/>
              <w:tabs>
                <w:tab w:val="left" w:pos="720" w:leader="none"/>
                <w:tab w:val="left" w:pos="1276" w:leader="none"/>
                <w:tab w:val="left" w:pos="1440" w:leader="none"/>
                <w:tab w:val="left" w:pos="2160" w:leader="none"/>
                <w:tab w:val="left" w:pos="2880" w:leader="none"/>
                <w:tab w:val="left" w:pos="3600" w:leader="none"/>
                <w:tab w:val="left" w:pos="5100" w:leader="none"/>
              </w:tabs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5</w:t>
            </w:r>
            <w:r>
              <w:rPr>
                <w:b/>
                <w:bCs/>
                <w:sz w:val="20"/>
                <w:szCs w:val="20"/>
              </w:rPr>
              <w:t xml:space="preserve">.</w:t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gridSpan w:val="2"/>
            <w:tcW w:w="5670" w:type="dxa"/>
            <w:vAlign w:val="center"/>
            <w:textDirection w:val="lrTb"/>
            <w:noWrap w:val="false"/>
          </w:tcPr>
          <w:p>
            <w:pPr>
              <w:ind w:right="-24"/>
              <w:jc w:val="both"/>
              <w:tabs>
                <w:tab w:val="left" w:pos="720" w:leader="none"/>
                <w:tab w:val="left" w:pos="1276" w:leader="none"/>
                <w:tab w:val="left" w:pos="1440" w:leader="none"/>
                <w:tab w:val="left" w:pos="2160" w:leader="none"/>
                <w:tab w:val="left" w:pos="2880" w:leader="none"/>
                <w:tab w:val="left" w:pos="3600" w:leader="none"/>
                <w:tab w:val="left" w:pos="5100" w:leader="none"/>
              </w:tabs>
              <w:rPr>
                <w:b/>
                <w:bCs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Изыскательские работы, разработка, согласование и утверждение </w:t>
            </w:r>
            <w:r>
              <w:rPr>
                <w:color w:val="000000"/>
                <w:sz w:val="20"/>
                <w:szCs w:val="20"/>
              </w:rPr>
              <w:t xml:space="preserve">проектной</w:t>
            </w:r>
            <w:r>
              <w:rPr>
                <w:color w:val="000000"/>
                <w:sz w:val="20"/>
                <w:szCs w:val="20"/>
              </w:rPr>
              <w:t xml:space="preserve"> документации </w:t>
            </w:r>
            <w:r>
              <w:rPr>
                <w:color w:val="000000"/>
                <w:sz w:val="20"/>
                <w:szCs w:val="20"/>
              </w:rPr>
              <w:t xml:space="preserve">электроснабжения </w:t>
            </w:r>
            <w:r>
              <w:rPr>
                <w:color w:val="000000"/>
                <w:sz w:val="20"/>
                <w:szCs w:val="20"/>
              </w:rPr>
              <w:t xml:space="preserve">объекта </w:t>
            </w:r>
            <w:r>
              <w:rPr>
                <w:rFonts w:cs="Calibri"/>
                <w:color w:val="000000"/>
                <w:sz w:val="20"/>
                <w:szCs w:val="20"/>
                <w:lang w:eastAsia="ar-SA"/>
              </w:rPr>
              <w:t xml:space="preserve">«</w:t>
            </w:r>
            <w:r>
              <w:rPr>
                <w:rFonts w:cs="Calibri"/>
                <w:color w:val="000000"/>
                <w:sz w:val="20"/>
                <w:szCs w:val="20"/>
                <w:lang w:eastAsia="ar-SA"/>
              </w:rPr>
              <w:t xml:space="preserve">М</w:t>
            </w:r>
            <w:r>
              <w:rPr>
                <w:color w:val="000000"/>
                <w:sz w:val="20"/>
                <w:szCs w:val="20"/>
              </w:rPr>
              <w:t xml:space="preserve">ногоквартирный жилой дом №8 и многоквартирный жилой дом №9</w:t>
            </w:r>
            <w:r>
              <w:rPr>
                <w:rFonts w:cs="Calibri"/>
                <w:color w:val="000000"/>
                <w:sz w:val="20"/>
                <w:szCs w:val="20"/>
                <w:lang w:eastAsia="ar-SA"/>
              </w:rPr>
              <w:t xml:space="preserve">»</w:t>
            </w:r>
            <w:r>
              <w:rPr>
                <w:color w:val="000000"/>
                <w:sz w:val="20"/>
                <w:szCs w:val="20"/>
              </w:rPr>
              <w:t xml:space="preserve"> раздел «Кабельные линии </w:t>
            </w:r>
            <w:r>
              <w:rPr>
                <w:color w:val="000000"/>
                <w:sz w:val="20"/>
                <w:szCs w:val="20"/>
              </w:rPr>
              <w:t xml:space="preserve">0,4</w:t>
            </w:r>
            <w:r>
              <w:rPr>
                <w:color w:val="000000"/>
                <w:sz w:val="20"/>
                <w:szCs w:val="20"/>
              </w:rPr>
              <w:t xml:space="preserve"> кВ»</w:t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3335" w:type="dxa"/>
            <w:vAlign w:val="center"/>
            <w:textDirection w:val="lrTb"/>
            <w:noWrap w:val="false"/>
          </w:tcPr>
          <w:p>
            <w:pPr>
              <w:ind w:right="-24"/>
              <w:jc w:val="center"/>
              <w:tabs>
                <w:tab w:val="left" w:pos="720" w:leader="none"/>
                <w:tab w:val="left" w:pos="1276" w:leader="none"/>
                <w:tab w:val="left" w:pos="1440" w:leader="none"/>
                <w:tab w:val="left" w:pos="2160" w:leader="none"/>
                <w:tab w:val="left" w:pos="2880" w:leader="none"/>
                <w:tab w:val="left" w:pos="3600" w:leader="none"/>
                <w:tab w:val="left" w:pos="5100" w:leader="none"/>
              </w:tabs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до </w:t>
            </w:r>
            <w:r>
              <w:rPr>
                <w:b/>
                <w:bCs/>
                <w:sz w:val="20"/>
                <w:szCs w:val="20"/>
              </w:rPr>
              <w:t xml:space="preserve">0</w:t>
            </w:r>
            <w:r>
              <w:rPr>
                <w:b/>
                <w:bCs/>
                <w:sz w:val="20"/>
                <w:szCs w:val="20"/>
              </w:rPr>
              <w:t xml:space="preserve">1.0</w:t>
            </w:r>
            <w:r>
              <w:rPr>
                <w:b/>
                <w:bCs/>
                <w:sz w:val="20"/>
                <w:szCs w:val="20"/>
              </w:rPr>
              <w:t xml:space="preserve">6</w:t>
            </w:r>
            <w:r>
              <w:rPr>
                <w:b/>
                <w:bCs/>
                <w:sz w:val="20"/>
                <w:szCs w:val="20"/>
              </w:rPr>
              <w:t xml:space="preserve">.202</w:t>
            </w:r>
            <w:r>
              <w:rPr>
                <w:b/>
                <w:bCs/>
                <w:sz w:val="20"/>
                <w:szCs w:val="20"/>
              </w:rPr>
              <w:t xml:space="preserve">6</w:t>
            </w:r>
            <w:r>
              <w:rPr>
                <w:b/>
                <w:bCs/>
                <w:sz w:val="20"/>
                <w:szCs w:val="20"/>
              </w:rPr>
              <w:t xml:space="preserve">г.</w:t>
            </w:r>
            <w:r>
              <w:rPr>
                <w:b/>
                <w:bCs/>
                <w:sz w:val="20"/>
                <w:szCs w:val="20"/>
              </w:rPr>
            </w:r>
          </w:p>
        </w:tc>
      </w:tr>
      <w:tr>
        <w:tblPrEx/>
        <w:trPr>
          <w:gridAfter w:val="1"/>
        </w:trPr>
        <w:tc>
          <w:tcPr>
            <w:tcW w:w="534" w:type="dxa"/>
            <w:vAlign w:val="center"/>
            <w:textDirection w:val="lrTb"/>
            <w:noWrap w:val="false"/>
          </w:tcPr>
          <w:p>
            <w:pPr>
              <w:ind w:right="-24"/>
              <w:jc w:val="center"/>
              <w:tabs>
                <w:tab w:val="left" w:pos="720" w:leader="none"/>
                <w:tab w:val="left" w:pos="1276" w:leader="none"/>
                <w:tab w:val="left" w:pos="1440" w:leader="none"/>
                <w:tab w:val="left" w:pos="2160" w:leader="none"/>
                <w:tab w:val="left" w:pos="2880" w:leader="none"/>
                <w:tab w:val="left" w:pos="3600" w:leader="none"/>
                <w:tab w:val="left" w:pos="5100" w:leader="none"/>
              </w:tabs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6</w:t>
            </w:r>
            <w:r>
              <w:rPr>
                <w:b/>
                <w:bCs/>
                <w:sz w:val="20"/>
                <w:szCs w:val="20"/>
              </w:rPr>
              <w:t xml:space="preserve">.</w:t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gridSpan w:val="2"/>
            <w:tcW w:w="5670" w:type="dxa"/>
            <w:vAlign w:val="center"/>
            <w:textDirection w:val="lrTb"/>
            <w:noWrap w:val="false"/>
          </w:tcPr>
          <w:p>
            <w:pPr>
              <w:ind w:right="-24"/>
              <w:jc w:val="both"/>
              <w:tabs>
                <w:tab w:val="left" w:pos="720" w:leader="none"/>
                <w:tab w:val="left" w:pos="1276" w:leader="none"/>
                <w:tab w:val="left" w:pos="1440" w:leader="none"/>
                <w:tab w:val="left" w:pos="2160" w:leader="none"/>
                <w:tab w:val="left" w:pos="2880" w:leader="none"/>
                <w:tab w:val="left" w:pos="3600" w:leader="none"/>
                <w:tab w:val="left" w:pos="5100" w:leader="none"/>
              </w:tabs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Строительно-монтажные работы объектов:</w:t>
            </w:r>
            <w:r>
              <w:rPr>
                <w:color w:val="000000"/>
                <w:sz w:val="20"/>
                <w:szCs w:val="20"/>
              </w:rPr>
            </w:r>
          </w:p>
          <w:p>
            <w:pPr>
              <w:ind w:right="-24"/>
              <w:jc w:val="both"/>
              <w:tabs>
                <w:tab w:val="left" w:pos="720" w:leader="none"/>
                <w:tab w:val="left" w:pos="1276" w:leader="none"/>
                <w:tab w:val="left" w:pos="1440" w:leader="none"/>
                <w:tab w:val="left" w:pos="2160" w:leader="none"/>
                <w:tab w:val="left" w:pos="2880" w:leader="none"/>
                <w:tab w:val="left" w:pos="3600" w:leader="none"/>
                <w:tab w:val="left" w:pos="5100" w:leader="none"/>
              </w:tabs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- </w:t>
            </w:r>
            <w:r>
              <w:rPr>
                <w:color w:val="000000"/>
                <w:sz w:val="20"/>
                <w:szCs w:val="20"/>
              </w:rPr>
              <w:t xml:space="preserve">6</w:t>
            </w:r>
            <w:r>
              <w:rPr>
                <w:rFonts w:cs="Calibri"/>
                <w:sz w:val="20"/>
                <w:szCs w:val="20"/>
                <w:lang w:eastAsia="ar-SA"/>
              </w:rPr>
              <w:t xml:space="preserve"> (</w:t>
            </w:r>
            <w:r>
              <w:rPr>
                <w:rFonts w:cs="Calibri"/>
                <w:sz w:val="20"/>
                <w:szCs w:val="20"/>
                <w:lang w:eastAsia="ar-SA"/>
              </w:rPr>
              <w:t xml:space="preserve">шести</w:t>
            </w:r>
            <w:r>
              <w:rPr>
                <w:rFonts w:cs="Calibri"/>
                <w:sz w:val="20"/>
                <w:szCs w:val="20"/>
                <w:lang w:eastAsia="ar-SA"/>
              </w:rPr>
              <w:t xml:space="preserve">) кабельных линий от РУ-0,4 кВ проектируемой 2КТПН-10/0,4 кВ-</w:t>
            </w:r>
            <w:r>
              <w:rPr>
                <w:rFonts w:cs="Calibri"/>
                <w:sz w:val="20"/>
                <w:szCs w:val="20"/>
                <w:lang w:eastAsia="ar-SA"/>
              </w:rPr>
              <w:t xml:space="preserve">100</w:t>
            </w:r>
            <w:r>
              <w:rPr>
                <w:rFonts w:cs="Calibri"/>
                <w:sz w:val="20"/>
                <w:szCs w:val="20"/>
                <w:lang w:eastAsia="ar-SA"/>
              </w:rPr>
              <w:t xml:space="preserve">0 кВА до ВРУ-0,4 кВ </w:t>
            </w:r>
            <w:r>
              <w:rPr>
                <w:rFonts w:cs="Calibri"/>
                <w:sz w:val="20"/>
                <w:szCs w:val="20"/>
                <w:lang w:eastAsia="ar-SA"/>
              </w:rPr>
              <w:t xml:space="preserve">м</w:t>
            </w:r>
            <w:r>
              <w:rPr>
                <w:color w:val="000000"/>
                <w:sz w:val="20"/>
                <w:szCs w:val="20"/>
              </w:rPr>
              <w:t xml:space="preserve">ногоквартирн</w:t>
            </w:r>
            <w:r>
              <w:rPr>
                <w:color w:val="000000"/>
                <w:sz w:val="20"/>
                <w:szCs w:val="20"/>
              </w:rPr>
              <w:t xml:space="preserve">ого</w:t>
            </w:r>
            <w:r>
              <w:rPr>
                <w:color w:val="000000"/>
                <w:sz w:val="20"/>
                <w:szCs w:val="20"/>
              </w:rPr>
              <w:t xml:space="preserve"> жило</w:t>
            </w:r>
            <w:r>
              <w:rPr>
                <w:color w:val="000000"/>
                <w:sz w:val="20"/>
                <w:szCs w:val="20"/>
              </w:rPr>
              <w:t xml:space="preserve">го</w:t>
            </w:r>
            <w:r>
              <w:rPr>
                <w:color w:val="000000"/>
                <w:sz w:val="20"/>
                <w:szCs w:val="20"/>
              </w:rPr>
              <w:t xml:space="preserve"> дом</w:t>
            </w:r>
            <w:r>
              <w:rPr>
                <w:color w:val="000000"/>
                <w:sz w:val="20"/>
                <w:szCs w:val="20"/>
              </w:rPr>
              <w:t xml:space="preserve">а</w:t>
            </w:r>
            <w:r>
              <w:rPr>
                <w:color w:val="000000"/>
                <w:sz w:val="20"/>
                <w:szCs w:val="20"/>
              </w:rPr>
              <w:t xml:space="preserve"> №8</w:t>
            </w:r>
            <w:r>
              <w:rPr>
                <w:color w:val="000000"/>
                <w:sz w:val="20"/>
                <w:szCs w:val="20"/>
              </w:rPr>
            </w:r>
          </w:p>
          <w:p>
            <w:pPr>
              <w:ind w:right="-24"/>
              <w:jc w:val="both"/>
              <w:tabs>
                <w:tab w:val="left" w:pos="720" w:leader="none"/>
                <w:tab w:val="left" w:pos="1276" w:leader="none"/>
                <w:tab w:val="left" w:pos="1440" w:leader="none"/>
                <w:tab w:val="left" w:pos="2160" w:leader="none"/>
                <w:tab w:val="left" w:pos="2880" w:leader="none"/>
                <w:tab w:val="left" w:pos="3600" w:leader="none"/>
                <w:tab w:val="left" w:pos="5100" w:leader="none"/>
              </w:tabs>
              <w:rPr>
                <w:b/>
                <w:bCs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- </w:t>
            </w:r>
            <w:r>
              <w:rPr>
                <w:color w:val="000000"/>
                <w:sz w:val="20"/>
                <w:szCs w:val="20"/>
              </w:rPr>
              <w:t xml:space="preserve">6</w:t>
            </w:r>
            <w:r>
              <w:rPr>
                <w:rFonts w:cs="Calibri"/>
                <w:sz w:val="20"/>
                <w:szCs w:val="20"/>
                <w:lang w:eastAsia="ar-SA"/>
              </w:rPr>
              <w:t xml:space="preserve"> (</w:t>
            </w:r>
            <w:r>
              <w:rPr>
                <w:rFonts w:cs="Calibri"/>
                <w:sz w:val="20"/>
                <w:szCs w:val="20"/>
                <w:lang w:eastAsia="ar-SA"/>
              </w:rPr>
              <w:t xml:space="preserve">шести</w:t>
            </w:r>
            <w:r>
              <w:rPr>
                <w:rFonts w:cs="Calibri"/>
                <w:sz w:val="20"/>
                <w:szCs w:val="20"/>
                <w:lang w:eastAsia="ar-SA"/>
              </w:rPr>
              <w:t xml:space="preserve">) кабельных линий от РУ-0,4 кВ проектируемой 2КТПН-10/0,4 кВ-</w:t>
            </w:r>
            <w:r>
              <w:rPr>
                <w:rFonts w:cs="Calibri"/>
                <w:sz w:val="20"/>
                <w:szCs w:val="20"/>
                <w:lang w:eastAsia="ar-SA"/>
              </w:rPr>
              <w:t xml:space="preserve">100</w:t>
            </w:r>
            <w:r>
              <w:rPr>
                <w:rFonts w:cs="Calibri"/>
                <w:sz w:val="20"/>
                <w:szCs w:val="20"/>
                <w:lang w:eastAsia="ar-SA"/>
              </w:rPr>
              <w:t xml:space="preserve">0 кВА до ВРУ-0,4 кВ многоквартирного </w:t>
            </w:r>
            <w:r>
              <w:rPr>
                <w:rFonts w:cs="Calibri"/>
                <w:sz w:val="20"/>
                <w:szCs w:val="20"/>
                <w:lang w:eastAsia="ar-SA"/>
              </w:rPr>
              <w:t xml:space="preserve">жилого</w:t>
            </w:r>
            <w:r>
              <w:rPr>
                <w:rFonts w:cs="Calibri"/>
                <w:sz w:val="20"/>
                <w:szCs w:val="20"/>
                <w:lang w:eastAsia="ar-SA"/>
              </w:rPr>
              <w:t xml:space="preserve"> дома </w:t>
            </w:r>
            <w:r>
              <w:rPr>
                <w:rFonts w:cs="Calibri"/>
                <w:sz w:val="20"/>
                <w:szCs w:val="20"/>
                <w:lang w:eastAsia="ar-SA"/>
              </w:rPr>
              <w:t xml:space="preserve">№9</w:t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3335" w:type="dxa"/>
            <w:vAlign w:val="center"/>
            <w:textDirection w:val="lrTb"/>
            <w:noWrap w:val="false"/>
          </w:tcPr>
          <w:p>
            <w:pPr>
              <w:ind w:right="-24"/>
              <w:jc w:val="center"/>
              <w:tabs>
                <w:tab w:val="left" w:pos="720" w:leader="none"/>
                <w:tab w:val="left" w:pos="1276" w:leader="none"/>
                <w:tab w:val="left" w:pos="1440" w:leader="none"/>
                <w:tab w:val="left" w:pos="2160" w:leader="none"/>
                <w:tab w:val="left" w:pos="2880" w:leader="none"/>
                <w:tab w:val="left" w:pos="3600" w:leader="none"/>
                <w:tab w:val="left" w:pos="5100" w:leader="none"/>
              </w:tabs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до 30.0</w:t>
            </w:r>
            <w:r>
              <w:rPr>
                <w:b/>
                <w:bCs/>
                <w:sz w:val="20"/>
                <w:szCs w:val="20"/>
              </w:rPr>
              <w:t xml:space="preserve">7</w:t>
            </w:r>
            <w:r>
              <w:rPr>
                <w:b/>
                <w:bCs/>
                <w:sz w:val="20"/>
                <w:szCs w:val="20"/>
              </w:rPr>
              <w:t xml:space="preserve">.202</w:t>
            </w:r>
            <w:r>
              <w:rPr>
                <w:b/>
                <w:bCs/>
                <w:sz w:val="20"/>
                <w:szCs w:val="20"/>
              </w:rPr>
              <w:t xml:space="preserve">6</w:t>
            </w:r>
            <w:r>
              <w:rPr>
                <w:b/>
                <w:bCs/>
                <w:sz w:val="20"/>
                <w:szCs w:val="20"/>
              </w:rPr>
              <w:t xml:space="preserve">г.</w:t>
            </w:r>
            <w:r>
              <w:rPr>
                <w:b/>
                <w:bCs/>
                <w:sz w:val="20"/>
                <w:szCs w:val="20"/>
              </w:rPr>
            </w:r>
          </w:p>
        </w:tc>
      </w:tr>
      <w:tr>
        <w:tblPrEx/>
        <w:trPr>
          <w:gridAfter w:val="1"/>
        </w:trPr>
        <w:tc>
          <w:tcPr>
            <w:tcW w:w="534" w:type="dxa"/>
            <w:vAlign w:val="center"/>
            <w:textDirection w:val="lrTb"/>
            <w:noWrap w:val="false"/>
          </w:tcPr>
          <w:p>
            <w:pPr>
              <w:ind w:right="-24"/>
              <w:jc w:val="center"/>
              <w:tabs>
                <w:tab w:val="left" w:pos="720" w:leader="none"/>
                <w:tab w:val="left" w:pos="1276" w:leader="none"/>
                <w:tab w:val="left" w:pos="1440" w:leader="none"/>
                <w:tab w:val="left" w:pos="2160" w:leader="none"/>
                <w:tab w:val="left" w:pos="2880" w:leader="none"/>
                <w:tab w:val="left" w:pos="3600" w:leader="none"/>
                <w:tab w:val="left" w:pos="5100" w:leader="none"/>
              </w:tabs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7.</w:t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gridSpan w:val="2"/>
            <w:tcW w:w="5670" w:type="dxa"/>
            <w:vAlign w:val="center"/>
            <w:textDirection w:val="lrTb"/>
            <w:noWrap w:val="false"/>
          </w:tcPr>
          <w:p>
            <w:pPr>
              <w:ind w:right="-24"/>
              <w:jc w:val="both"/>
              <w:tabs>
                <w:tab w:val="left" w:pos="720" w:leader="none"/>
                <w:tab w:val="left" w:pos="1276" w:leader="none"/>
                <w:tab w:val="left" w:pos="1440" w:leader="none"/>
                <w:tab w:val="left" w:pos="2160" w:leader="none"/>
                <w:tab w:val="left" w:pos="2880" w:leader="none"/>
                <w:tab w:val="left" w:pos="3600" w:leader="none"/>
                <w:tab w:val="left" w:pos="5100" w:leader="none"/>
              </w:tabs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Пуско</w:t>
            </w:r>
            <w:r>
              <w:rPr>
                <w:color w:val="000000"/>
                <w:sz w:val="20"/>
                <w:szCs w:val="20"/>
              </w:rPr>
              <w:t xml:space="preserve">-</w:t>
            </w:r>
            <w:r>
              <w:rPr>
                <w:color w:val="000000"/>
                <w:sz w:val="20"/>
                <w:szCs w:val="20"/>
              </w:rPr>
              <w:t xml:space="preserve">наладочные работы</w:t>
            </w:r>
            <w:r>
              <w:rPr>
                <w:color w:val="000000"/>
                <w:sz w:val="20"/>
                <w:szCs w:val="20"/>
              </w:rPr>
              <w:t xml:space="preserve"> и ввод </w:t>
            </w:r>
            <w:r>
              <w:rPr>
                <w:color w:val="000000"/>
                <w:sz w:val="20"/>
                <w:szCs w:val="20"/>
              </w:rPr>
              <w:t xml:space="preserve">о</w:t>
            </w:r>
            <w:r>
              <w:rPr>
                <w:color w:val="000000"/>
                <w:sz w:val="20"/>
                <w:szCs w:val="20"/>
              </w:rPr>
              <w:t xml:space="preserve">бъект</w:t>
            </w:r>
            <w:r>
              <w:rPr>
                <w:color w:val="000000"/>
                <w:sz w:val="20"/>
                <w:szCs w:val="20"/>
              </w:rPr>
              <w:t xml:space="preserve">ов</w:t>
            </w:r>
            <w:r>
              <w:rPr>
                <w:color w:val="000000"/>
                <w:sz w:val="20"/>
                <w:szCs w:val="20"/>
              </w:rPr>
              <w:t xml:space="preserve"> в эксплуатацию</w:t>
            </w:r>
            <w:r>
              <w:rPr>
                <w:color w:val="000000"/>
                <w:sz w:val="20"/>
                <w:szCs w:val="20"/>
              </w:rPr>
              <w:t xml:space="preserve">:</w:t>
            </w:r>
            <w:r>
              <w:rPr>
                <w:color w:val="000000"/>
                <w:sz w:val="20"/>
                <w:szCs w:val="20"/>
              </w:rPr>
            </w:r>
          </w:p>
          <w:p>
            <w:pPr>
              <w:pStyle w:val="751"/>
              <w:numPr>
                <w:ilvl w:val="0"/>
                <w:numId w:val="21"/>
              </w:numPr>
              <w:ind w:right="-24"/>
              <w:jc w:val="both"/>
              <w:tabs>
                <w:tab w:val="left" w:pos="720" w:leader="none"/>
                <w:tab w:val="left" w:pos="1276" w:leader="none"/>
                <w:tab w:val="left" w:pos="1440" w:leader="none"/>
                <w:tab w:val="left" w:pos="2160" w:leader="none"/>
                <w:tab w:val="left" w:pos="2880" w:leader="none"/>
                <w:tab w:val="left" w:pos="3600" w:leader="none"/>
                <w:tab w:val="left" w:pos="5100" w:leader="none"/>
              </w:tabs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«Кабельные линии 10 кВ»</w:t>
            </w:r>
            <w:r>
              <w:rPr>
                <w:color w:val="000000"/>
                <w:sz w:val="20"/>
                <w:szCs w:val="20"/>
              </w:rPr>
            </w:r>
          </w:p>
          <w:p>
            <w:pPr>
              <w:pStyle w:val="751"/>
              <w:numPr>
                <w:ilvl w:val="0"/>
                <w:numId w:val="21"/>
              </w:numPr>
              <w:ind w:right="-24"/>
              <w:jc w:val="both"/>
              <w:tabs>
                <w:tab w:val="left" w:pos="720" w:leader="none"/>
                <w:tab w:val="left" w:pos="1276" w:leader="none"/>
                <w:tab w:val="left" w:pos="1440" w:leader="none"/>
                <w:tab w:val="left" w:pos="2160" w:leader="none"/>
                <w:tab w:val="left" w:pos="2880" w:leader="none"/>
                <w:tab w:val="left" w:pos="3600" w:leader="none"/>
                <w:tab w:val="left" w:pos="5100" w:leader="none"/>
              </w:tabs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«Комплектная двухтрансформаторная подстанция 10/0,4 кВ - 1000 кВА»</w:t>
            </w:r>
            <w:r>
              <w:rPr>
                <w:color w:val="000000"/>
                <w:sz w:val="20"/>
                <w:szCs w:val="20"/>
              </w:rPr>
            </w:r>
          </w:p>
          <w:p>
            <w:pPr>
              <w:pStyle w:val="751"/>
              <w:numPr>
                <w:ilvl w:val="0"/>
                <w:numId w:val="21"/>
              </w:numPr>
              <w:ind w:right="-24"/>
              <w:jc w:val="both"/>
              <w:tabs>
                <w:tab w:val="left" w:pos="720" w:leader="none"/>
                <w:tab w:val="left" w:pos="1276" w:leader="none"/>
                <w:tab w:val="left" w:pos="1440" w:leader="none"/>
                <w:tab w:val="left" w:pos="2160" w:leader="none"/>
                <w:tab w:val="left" w:pos="2880" w:leader="none"/>
                <w:tab w:val="left" w:pos="3600" w:leader="none"/>
                <w:tab w:val="left" w:pos="5100" w:leader="none"/>
              </w:tabs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«Кабельные линии 0,4 кВ»</w:t>
            </w:r>
            <w:r>
              <w:rPr>
                <w:rFonts w:cs="Calibri"/>
                <w:sz w:val="20"/>
                <w:szCs w:val="20"/>
                <w:lang w:eastAsia="ar-SA"/>
              </w:rPr>
              <w:t xml:space="preserve"> м</w:t>
            </w:r>
            <w:r>
              <w:rPr>
                <w:color w:val="000000"/>
                <w:sz w:val="20"/>
                <w:szCs w:val="20"/>
              </w:rPr>
              <w:t xml:space="preserve">ногоквартирного жилого дома №8</w:t>
            </w:r>
            <w:r>
              <w:rPr>
                <w:rFonts w:cs="Calibri"/>
                <w:sz w:val="20"/>
                <w:szCs w:val="20"/>
                <w:lang w:eastAsia="ar-SA"/>
              </w:rPr>
              <w:t xml:space="preserve"> и м</w:t>
            </w:r>
            <w:r>
              <w:rPr>
                <w:color w:val="000000"/>
                <w:sz w:val="20"/>
                <w:szCs w:val="20"/>
              </w:rPr>
              <w:t xml:space="preserve">ногоквартирного жилого дома №9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35" w:type="dxa"/>
            <w:vAlign w:val="center"/>
            <w:textDirection w:val="lrTb"/>
            <w:noWrap w:val="false"/>
          </w:tcPr>
          <w:p>
            <w:pPr>
              <w:ind w:right="-24"/>
              <w:jc w:val="center"/>
              <w:tabs>
                <w:tab w:val="left" w:pos="720" w:leader="none"/>
                <w:tab w:val="left" w:pos="1276" w:leader="none"/>
                <w:tab w:val="left" w:pos="1440" w:leader="none"/>
                <w:tab w:val="left" w:pos="2160" w:leader="none"/>
                <w:tab w:val="left" w:pos="2880" w:leader="none"/>
                <w:tab w:val="left" w:pos="3600" w:leader="none"/>
                <w:tab w:val="left" w:pos="5100" w:leader="none"/>
              </w:tabs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до 30.0</w:t>
            </w:r>
            <w:r>
              <w:rPr>
                <w:b/>
                <w:bCs/>
                <w:sz w:val="20"/>
                <w:szCs w:val="20"/>
              </w:rPr>
              <w:t xml:space="preserve">8</w:t>
            </w:r>
            <w:r>
              <w:rPr>
                <w:b/>
                <w:bCs/>
                <w:sz w:val="20"/>
                <w:szCs w:val="20"/>
              </w:rPr>
              <w:t xml:space="preserve">.202</w:t>
            </w:r>
            <w:r>
              <w:rPr>
                <w:b/>
                <w:bCs/>
                <w:sz w:val="20"/>
                <w:szCs w:val="20"/>
              </w:rPr>
              <w:t xml:space="preserve">6</w:t>
            </w:r>
            <w:r>
              <w:rPr>
                <w:b/>
                <w:bCs/>
                <w:sz w:val="20"/>
                <w:szCs w:val="20"/>
              </w:rPr>
              <w:t xml:space="preserve">г.</w:t>
            </w:r>
            <w:r>
              <w:rPr>
                <w:b/>
                <w:bCs/>
                <w:sz w:val="20"/>
                <w:szCs w:val="20"/>
              </w:rPr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/>
        <w:tc>
          <w:tcPr>
            <w:gridSpan w:val="2"/>
            <w:tcW w:w="4785" w:type="dxa"/>
            <w:textDirection w:val="lrTb"/>
            <w:noWrap w:val="false"/>
          </w:tcPr>
          <w:p>
            <w:pPr>
              <w:ind w:right="-625"/>
              <w:jc w:val="center"/>
              <w:tabs>
                <w:tab w:val="left" w:pos="720" w:leader="none"/>
                <w:tab w:val="left" w:pos="1276" w:leader="none"/>
                <w:tab w:val="left" w:pos="1440" w:leader="none"/>
                <w:tab w:val="left" w:pos="2160" w:leader="none"/>
                <w:tab w:val="left" w:pos="2880" w:leader="none"/>
                <w:tab w:val="left" w:pos="3600" w:leader="none"/>
                <w:tab w:val="left" w:pos="5100" w:leader="none"/>
              </w:tabs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gridSpan w:val="3"/>
            <w:tcW w:w="4786" w:type="dxa"/>
            <w:textDirection w:val="lrTb"/>
            <w:noWrap w:val="false"/>
          </w:tcPr>
          <w:p>
            <w:pPr>
              <w:ind w:right="-625"/>
              <w:jc w:val="center"/>
              <w:tabs>
                <w:tab w:val="left" w:pos="720" w:leader="none"/>
                <w:tab w:val="left" w:pos="1276" w:leader="none"/>
                <w:tab w:val="left" w:pos="1440" w:leader="none"/>
                <w:tab w:val="left" w:pos="2160" w:leader="none"/>
                <w:tab w:val="left" w:pos="2880" w:leader="none"/>
                <w:tab w:val="left" w:pos="3600" w:leader="none"/>
                <w:tab w:val="left" w:pos="5100" w:leader="none"/>
              </w:tabs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</w:tr>
    </w:tbl>
    <w:p>
      <w:pPr>
        <w:ind w:left="-851" w:right="-24" w:firstLine="709"/>
        <w:jc w:val="right"/>
        <w:tabs>
          <w:tab w:val="left" w:pos="720" w:leader="none"/>
          <w:tab w:val="left" w:pos="1276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5100" w:leader="none"/>
        </w:tabs>
        <w:rPr>
          <w:bCs/>
          <w:sz w:val="20"/>
          <w:szCs w:val="20"/>
        </w:rPr>
      </w:pP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sectPr>
      <w:headerReference w:type="default" r:id="rId9"/>
      <w:footerReference w:type="default" r:id="rId10"/>
      <w:footnotePr/>
      <w:endnotePr/>
      <w:type w:val="nextPage"/>
      <w:pgSz w:w="11906" w:h="16838" w:orient="portrait"/>
      <w:pgMar w:top="378" w:right="707" w:bottom="719" w:left="1560" w:header="284" w:footer="737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Tahoma">
    <w:panose1 w:val="020B0604030504040204"/>
  </w:font>
  <w:font w:name="Calibri">
    <w:panose1 w:val="020F0502020204030204"/>
  </w:font>
  <w:font w:name="Arial">
    <w:panose1 w:val="020B0604020202020204"/>
  </w:font>
  <w:font w:name="Consultant">
    <w:panose1 w:val="020B0604030504040204"/>
  </w:font>
  <w:font w:name="Times New Roman">
    <w:panose1 w:val="02020603050405020304"/>
  </w:font>
  <w:font w:name="Courier New">
    <w:panose1 w:val="02070309020205020404"/>
  </w:font>
  <w:font w:name="Cambria">
    <w:panose1 w:val="02040803050406030204"/>
  </w:font>
  <w:font w:name="Wingdings">
    <w:panose1 w:val="05010000000000000000"/>
  </w:font>
  <w:font w:name="Liberation Sans">
    <w:panose1 w:val="020B060402020202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37"/>
      <w:jc w:val="both"/>
    </w:pPr>
    <w:r>
      <w:t xml:space="preserve">____________________  Заказчик                                ___________________  Подрядчик </w:t>
    </w:r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35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 xml:space="preserve">1</w:t>
    </w:r>
    <w:r>
      <w:fldChar w:fldCharType="end"/>
    </w:r>
    <w:r/>
  </w:p>
  <w:p>
    <w:pPr>
      <w:pStyle w:val="735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22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342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09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21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96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7078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832" w:hanging="1800"/>
      </w:pPr>
      <w:rPr>
        <w:rFonts w:hint="default"/>
      </w:rPr>
    </w:lvl>
  </w:abstractNum>
  <w:abstractNum w:abstractNumId="1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0" w:leader="none"/>
        </w:tabs>
      </w:pPr>
      <w:rPr>
        <w:rFonts w:hint="default" w:ascii="Times New Roman" w:hAnsi="Times New Roman" w:cs="Times New Roman"/>
        <w:b/>
        <w:i w:val="0"/>
        <w:caps w:val="0"/>
        <w:strike w:val="0"/>
        <w:vanish w:val="0"/>
        <w:color w:val="auto"/>
        <w:sz w:val="24"/>
        <w:u w:val="none"/>
        <w:vertAlign w:val="baseline"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  <w:tabs>
          <w:tab w:val="num" w:pos="0" w:leader="none"/>
        </w:tabs>
      </w:pPr>
      <w:rPr>
        <w:rFonts w:hint="default" w:cs="Times New Roman"/>
        <w:b/>
      </w:rPr>
    </w:lvl>
    <w:lvl w:ilvl="2">
      <w:start w:val="1"/>
      <w:numFmt w:val="decimal"/>
      <w:isLgl w:val="false"/>
      <w:suff w:val="tab"/>
      <w:lvlText w:val="%1.3."/>
      <w:lvlJc w:val="left"/>
      <w:pPr>
        <w:ind w:left="1224" w:hanging="504"/>
        <w:tabs>
          <w:tab w:val="num" w:pos="0" w:leader="none"/>
        </w:tabs>
      </w:pPr>
      <w:rPr>
        <w:rFonts w:hint="default" w:cs="Times New Roman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0" w:leader="none"/>
        </w:tabs>
      </w:pPr>
      <w:rPr>
        <w:rFonts w:hint="default" w:cs="Times New Roman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0" w:leader="none"/>
        </w:tabs>
      </w:pPr>
      <w:rPr>
        <w:rFonts w:hint="default"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0" w:leader="none"/>
        </w:tabs>
      </w:pPr>
      <w:rPr>
        <w:rFonts w:hint="default"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0" w:leader="none"/>
        </w:tabs>
      </w:pPr>
      <w:rPr>
        <w:rFonts w:hint="default"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0" w:leader="none"/>
        </w:tabs>
      </w:pPr>
      <w:rPr>
        <w:rFonts w:hint="default"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0" w:leader="none"/>
        </w:tabs>
      </w:pPr>
      <w:rPr>
        <w:rFonts w:hint="default" w:cs="Times New Roman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44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6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8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60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2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4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6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8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200" w:hanging="180"/>
      </w:pPr>
    </w:lvl>
  </w:abstractNum>
  <w:abstractNum w:abstractNumId="5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7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754" w:hanging="360"/>
      </w:pPr>
      <w:rPr>
        <w:rFonts w:hint="default"/>
        <w:b/>
      </w:rPr>
    </w:lvl>
    <w:lvl w:ilvl="1">
      <w:start w:val="1"/>
      <w:numFmt w:val="decimal"/>
      <w:isLgl/>
      <w:suff w:val="tab"/>
      <w:lvlText w:val="%1.%2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suff w:val="tab"/>
      <w:lvlText w:val="%1.%2.%3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suff w:val="tab"/>
      <w:lvlText w:val="%1.%2.%3.%4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"/>
      <w:lvlJc w:val="left"/>
      <w:pPr>
        <w:ind w:left="2194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"/>
      <w:lvlJc w:val="left"/>
      <w:pPr>
        <w:ind w:left="2194" w:hanging="1800"/>
      </w:pPr>
      <w:rPr>
        <w:rFonts w:hint="default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suff w:val="tab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ascii="Times New Roman" w:hAnsi="Times New Roman" w:eastAsia="Calibri" w:cs="Times New Roman"/>
      </w:rPr>
    </w:lvl>
    <w:lvl w:ilvl="1">
      <w:start w:val="1"/>
      <w:numFmt w:val="decimal"/>
      <w:isLgl/>
      <w:suff w:val="tab"/>
      <w:lvlText w:val="%1.%2."/>
      <w:lvlJc w:val="left"/>
      <w:pPr>
        <w:ind w:left="928" w:hanging="360"/>
      </w:pPr>
      <w:rPr>
        <w:rFonts w:hint="default" w:ascii="Times New Roman" w:hAnsi="Times New Roman" w:cs="Times New Roman"/>
        <w:b w:val="0"/>
        <w:sz w:val="24"/>
        <w:szCs w:val="24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22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82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09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85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96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718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832" w:hanging="1800"/>
      </w:pPr>
      <w:rPr>
        <w:rFonts w:hint="default"/>
      </w:r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­"/>
      <w:lvlJc w:val="left"/>
      <w:pPr>
        <w:ind w:left="2148" w:hanging="360"/>
        <w:tabs>
          <w:tab w:val="num" w:pos="2148" w:leader="none"/>
        </w:tabs>
      </w:pPr>
      <w:rPr>
        <w:rFonts w:hint="default" w:ascii="Courier New" w:hAnsi="Courier New" w:cs="Courier New"/>
      </w:rPr>
    </w:lvl>
    <w:lvl w:ilvl="1">
      <w:start w:val="1"/>
      <w:numFmt w:val="bullet"/>
      <w:isLgl w:val="false"/>
      <w:suff w:val="tab"/>
      <w:lvlText w:val="o"/>
      <w:lvlJc w:val="left"/>
      <w:pPr>
        <w:ind w:left="2160" w:hanging="360"/>
        <w:tabs>
          <w:tab w:val="num" w:pos="216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600" w:hanging="360"/>
        <w:tabs>
          <w:tab w:val="num" w:pos="360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20" w:hanging="360"/>
        <w:tabs>
          <w:tab w:val="num" w:pos="432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60" w:hanging="360"/>
        <w:tabs>
          <w:tab w:val="num" w:pos="576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80" w:hanging="360"/>
        <w:tabs>
          <w:tab w:val="num" w:pos="648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200" w:hanging="360"/>
        <w:tabs>
          <w:tab w:val="num" w:pos="7200" w:leader="none"/>
        </w:tabs>
      </w:pPr>
      <w:rPr>
        <w:rFonts w:hint="default" w:ascii="Wingdings" w:hAnsi="Wingdings" w:cs="Wingdings"/>
      </w:r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13">
    <w:multiLevelType w:val="hybridMultilevel"/>
    <w:lvl w:ilvl="0">
      <w:start w:val="2"/>
      <w:numFmt w:val="bullet"/>
      <w:isLgl w:val="false"/>
      <w:suff w:val="tab"/>
      <w:lvlText w:val="–"/>
      <w:lvlJc w:val="left"/>
      <w:pPr>
        <w:ind w:left="1080" w:hanging="360"/>
      </w:pPr>
      <w:rPr>
        <w:rFonts w:hint="default" w:ascii="Times New Roman" w:hAnsi="Times New Roman" w:eastAsia="Times New Roman" w:cs="Times New Roman"/>
        <w:sz w:val="24"/>
      </w:rPr>
    </w:lvl>
    <w:lvl w:ilvl="1">
      <w:start w:val="1"/>
      <w:numFmt w:val="bullet"/>
      <w:isLgl w:val="false"/>
      <w:suff w:val="tab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24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40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ascii="Times New Roman" w:hAnsi="Times New Roman" w:eastAsia="Times New Roman" w:cs="Times New Roman"/>
        <w:b/>
      </w:rPr>
    </w:lvl>
    <w:lvl w:ilvl="1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2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3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4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5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6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7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8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928" w:hanging="360"/>
      </w:pPr>
      <w:rPr>
        <w:rFonts w:hint="default"/>
      </w:rPr>
    </w:lvl>
    <w:lvl w:ilvl="1">
      <w:start w:val="4"/>
      <w:numFmt w:val="decimal"/>
      <w:isLgl/>
      <w:suff w:val="tab"/>
      <w:lvlText w:val="%1.%2."/>
      <w:lvlJc w:val="left"/>
      <w:pPr>
        <w:ind w:left="988" w:hanging="4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288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648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008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­"/>
      <w:lvlJc w:val="left"/>
      <w:pPr>
        <w:ind w:left="1429" w:hanging="360"/>
      </w:pPr>
      <w:rPr>
        <w:rFonts w:hint="default" w:ascii="Courier New" w:hAnsi="Courier New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8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360" w:hanging="360"/>
        <w:tabs>
          <w:tab w:val="num" w:pos="0" w:leader="none"/>
        </w:tabs>
      </w:pPr>
      <w:rPr>
        <w:rFonts w:hint="default" w:ascii="Times New Roman" w:hAnsi="Times New Roman" w:cs="Times New Roman"/>
        <w:b/>
        <w:i w:val="0"/>
        <w:caps w:val="0"/>
        <w:strike w:val="0"/>
        <w:vanish w:val="0"/>
        <w:color w:val="auto"/>
        <w:sz w:val="24"/>
        <w:u w:val="none"/>
        <w:vertAlign w:val="baseline"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  <w:tabs>
          <w:tab w:val="num" w:pos="0" w:leader="none"/>
        </w:tabs>
      </w:pPr>
      <w:rPr>
        <w:rFonts w:hint="default" w:cs="Times New Roman"/>
        <w:b w:val="0"/>
        <w:color w:val="auto"/>
      </w:rPr>
    </w:lvl>
    <w:lvl w:ilvl="2">
      <w:start w:val="2"/>
      <w:numFmt w:val="decimal"/>
      <w:isLgl w:val="false"/>
      <w:suff w:val="tab"/>
      <w:lvlText w:val="%3.%2."/>
      <w:lvlJc w:val="left"/>
      <w:pPr>
        <w:ind w:left="1224" w:hanging="504"/>
        <w:tabs>
          <w:tab w:val="num" w:pos="0" w:leader="none"/>
        </w:tabs>
      </w:pPr>
      <w:rPr>
        <w:rFonts w:hint="default" w:cs="Times New Roman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0" w:leader="none"/>
        </w:tabs>
      </w:pPr>
      <w:rPr>
        <w:rFonts w:hint="default" w:cs="Times New Roman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0" w:leader="none"/>
        </w:tabs>
      </w:pPr>
      <w:rPr>
        <w:rFonts w:hint="default"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0" w:leader="none"/>
        </w:tabs>
      </w:pPr>
      <w:rPr>
        <w:rFonts w:hint="default"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0" w:leader="none"/>
        </w:tabs>
      </w:pPr>
      <w:rPr>
        <w:rFonts w:hint="default"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0" w:leader="none"/>
        </w:tabs>
      </w:pPr>
      <w:rPr>
        <w:rFonts w:hint="default"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0" w:leader="none"/>
        </w:tabs>
      </w:pPr>
      <w:rPr>
        <w:rFonts w:hint="default" w:cs="Times New Roman"/>
      </w:rPr>
    </w:lvl>
  </w:abstractNum>
  <w:abstractNum w:abstractNumId="19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08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12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4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6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8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00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72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4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68" w:hanging="180"/>
      </w:p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0"/>
  </w:num>
  <w:num w:numId="4">
    <w:abstractNumId w:val="1"/>
  </w:num>
  <w:num w:numId="5">
    <w:abstractNumId w:val="5"/>
  </w:num>
  <w:num w:numId="6">
    <w:abstractNumId w:val="12"/>
  </w:num>
  <w:num w:numId="7">
    <w:abstractNumId w:val="16"/>
  </w:num>
  <w:num w:numId="8">
    <w:abstractNumId w:val="10"/>
  </w:num>
  <w:num w:numId="9">
    <w:abstractNumId w:val="19"/>
  </w:num>
  <w:num w:numId="10">
    <w:abstractNumId w:val="2"/>
  </w:num>
  <w:num w:numId="11">
    <w:abstractNumId w:val="18"/>
  </w:num>
  <w:num w:numId="12">
    <w:abstractNumId w:val="4"/>
  </w:num>
  <w:num w:numId="13">
    <w:abstractNumId w:val="6"/>
  </w:num>
  <w:num w:numId="14">
    <w:abstractNumId w:val="15"/>
  </w:num>
  <w:num w:numId="15">
    <w:abstractNumId w:val="9"/>
  </w:num>
  <w:num w:numId="16">
    <w:abstractNumId w:val="8"/>
  </w:num>
  <w:num w:numId="17">
    <w:abstractNumId w:val="13"/>
  </w:num>
  <w:num w:numId="18">
    <w:abstractNumId w:val="17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1"/>
  </w:num>
  <w:num w:numId="20">
    <w:abstractNumId w:val="3"/>
  </w:num>
  <w:num w:numId="2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5">
    <w:name w:val="Heading 1 Char"/>
    <w:basedOn w:val="728"/>
    <w:link w:val="725"/>
    <w:uiPriority w:val="9"/>
    <w:rPr>
      <w:rFonts w:ascii="Liberation Sans" w:hAnsi="Liberation Sans" w:eastAsia="Liberation Sans" w:cs="Liberation Sans"/>
      <w:sz w:val="40"/>
      <w:szCs w:val="40"/>
    </w:rPr>
  </w:style>
  <w:style w:type="character" w:styleId="17">
    <w:name w:val="Heading 2 Char"/>
    <w:basedOn w:val="728"/>
    <w:link w:val="726"/>
    <w:uiPriority w:val="9"/>
    <w:rPr>
      <w:rFonts w:ascii="Liberation Sans" w:hAnsi="Liberation Sans" w:eastAsia="Liberation Sans" w:cs="Liberation Sans"/>
      <w:sz w:val="34"/>
    </w:rPr>
  </w:style>
  <w:style w:type="character" w:styleId="19">
    <w:name w:val="Heading 3 Char"/>
    <w:basedOn w:val="728"/>
    <w:link w:val="727"/>
    <w:uiPriority w:val="9"/>
    <w:rPr>
      <w:rFonts w:ascii="Liberation Sans" w:hAnsi="Liberation Sans" w:eastAsia="Liberation Sans" w:cs="Liberation Sans"/>
      <w:sz w:val="30"/>
      <w:szCs w:val="30"/>
    </w:rPr>
  </w:style>
  <w:style w:type="paragraph" w:styleId="20">
    <w:name w:val="Heading 4"/>
    <w:basedOn w:val="724"/>
    <w:next w:val="724"/>
    <w:link w:val="21"/>
    <w:uiPriority w:val="9"/>
    <w:unhideWhenUsed/>
    <w:qFormat/>
    <w:pPr>
      <w:keepLines/>
      <w:keepNext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21">
    <w:name w:val="Heading 4 Char"/>
    <w:basedOn w:val="728"/>
    <w:link w:val="20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22">
    <w:name w:val="Heading 5"/>
    <w:basedOn w:val="724"/>
    <w:next w:val="724"/>
    <w:link w:val="23"/>
    <w:uiPriority w:val="9"/>
    <w:unhideWhenUsed/>
    <w:qFormat/>
    <w:pPr>
      <w:keepLines/>
      <w:keepNext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23">
    <w:name w:val="Heading 5 Char"/>
    <w:basedOn w:val="728"/>
    <w:link w:val="22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24">
    <w:name w:val="Heading 6"/>
    <w:basedOn w:val="724"/>
    <w:next w:val="724"/>
    <w:link w:val="25"/>
    <w:uiPriority w:val="9"/>
    <w:unhideWhenUsed/>
    <w:qFormat/>
    <w:pPr>
      <w:keepLines/>
      <w:keepNext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25">
    <w:name w:val="Heading 6 Char"/>
    <w:basedOn w:val="728"/>
    <w:link w:val="24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26">
    <w:name w:val="Heading 7"/>
    <w:basedOn w:val="724"/>
    <w:next w:val="724"/>
    <w:link w:val="27"/>
    <w:uiPriority w:val="9"/>
    <w:unhideWhenUsed/>
    <w:qFormat/>
    <w:pPr>
      <w:keepLines/>
      <w:keepNext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27">
    <w:name w:val="Heading 7 Char"/>
    <w:basedOn w:val="728"/>
    <w:link w:val="26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paragraph" w:styleId="28">
    <w:name w:val="Heading 8"/>
    <w:basedOn w:val="724"/>
    <w:next w:val="724"/>
    <w:link w:val="29"/>
    <w:uiPriority w:val="9"/>
    <w:unhideWhenUsed/>
    <w:qFormat/>
    <w:pPr>
      <w:keepLines/>
      <w:keepNext/>
      <w:spacing w:before="320" w:after="200"/>
      <w:outlineLvl w:val="7"/>
    </w:pPr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29">
    <w:name w:val="Heading 8 Char"/>
    <w:basedOn w:val="728"/>
    <w:link w:val="28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paragraph" w:styleId="30">
    <w:name w:val="Heading 9"/>
    <w:basedOn w:val="724"/>
    <w:next w:val="724"/>
    <w:link w:val="31"/>
    <w:uiPriority w:val="9"/>
    <w:unhideWhenUsed/>
    <w:qFormat/>
    <w:pPr>
      <w:keepLines/>
      <w:keepNext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31">
    <w:name w:val="Heading 9 Char"/>
    <w:basedOn w:val="728"/>
    <w:link w:val="30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36">
    <w:name w:val="Title Char"/>
    <w:basedOn w:val="728"/>
    <w:link w:val="753"/>
    <w:uiPriority w:val="10"/>
    <w:rPr>
      <w:sz w:val="48"/>
      <w:szCs w:val="48"/>
    </w:rPr>
  </w:style>
  <w:style w:type="paragraph" w:styleId="37">
    <w:name w:val="Subtitle"/>
    <w:basedOn w:val="724"/>
    <w:next w:val="724"/>
    <w:link w:val="38"/>
    <w:uiPriority w:val="11"/>
    <w:qFormat/>
    <w:pPr>
      <w:spacing w:before="200" w:after="200"/>
    </w:pPr>
    <w:rPr>
      <w:sz w:val="24"/>
      <w:szCs w:val="24"/>
    </w:rPr>
  </w:style>
  <w:style w:type="character" w:styleId="38">
    <w:name w:val="Subtitle Char"/>
    <w:basedOn w:val="728"/>
    <w:link w:val="37"/>
    <w:uiPriority w:val="11"/>
    <w:rPr>
      <w:sz w:val="24"/>
      <w:szCs w:val="24"/>
    </w:rPr>
  </w:style>
  <w:style w:type="paragraph" w:styleId="39">
    <w:name w:val="Quote"/>
    <w:basedOn w:val="724"/>
    <w:next w:val="724"/>
    <w:link w:val="40"/>
    <w:uiPriority w:val="29"/>
    <w:qFormat/>
    <w:pPr>
      <w:ind w:left="720" w:right="720"/>
    </w:pPr>
    <w:rPr>
      <w:i/>
    </w:rPr>
  </w:style>
  <w:style w:type="character" w:styleId="40">
    <w:name w:val="Quote Char"/>
    <w:link w:val="39"/>
    <w:uiPriority w:val="29"/>
    <w:rPr>
      <w:i/>
    </w:rPr>
  </w:style>
  <w:style w:type="paragraph" w:styleId="41">
    <w:name w:val="Intense Quote"/>
    <w:basedOn w:val="724"/>
    <w:next w:val="724"/>
    <w:link w:val="42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2">
    <w:name w:val="Intense Quote Char"/>
    <w:link w:val="41"/>
    <w:uiPriority w:val="30"/>
    <w:rPr>
      <w:i/>
    </w:rPr>
  </w:style>
  <w:style w:type="character" w:styleId="44">
    <w:name w:val="Header Char"/>
    <w:basedOn w:val="728"/>
    <w:link w:val="735"/>
    <w:uiPriority w:val="99"/>
  </w:style>
  <w:style w:type="character" w:styleId="46">
    <w:name w:val="Footer Char"/>
    <w:basedOn w:val="728"/>
    <w:link w:val="737"/>
    <w:uiPriority w:val="99"/>
  </w:style>
  <w:style w:type="paragraph" w:styleId="47">
    <w:name w:val="Caption"/>
    <w:basedOn w:val="724"/>
    <w:next w:val="724"/>
    <w:link w:val="4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8">
    <w:name w:val="Caption Char"/>
    <w:basedOn w:val="728"/>
    <w:link w:val="47"/>
    <w:uiPriority w:val="35"/>
    <w:rPr>
      <w:b/>
      <w:bCs/>
      <w:color w:val="4f81bd" w:themeColor="accent1"/>
      <w:sz w:val="18"/>
      <w:szCs w:val="18"/>
    </w:rPr>
  </w:style>
  <w:style w:type="table" w:styleId="50">
    <w:name w:val="Table Grid Light"/>
    <w:basedOn w:val="72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1">
    <w:name w:val="Plain Table 1"/>
    <w:basedOn w:val="72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52">
    <w:name w:val="Plain Table 2"/>
    <w:basedOn w:val="72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53">
    <w:name w:val="Plain Table 3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4">
    <w:name w:val="Plain Table 4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Plain Table 5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6">
    <w:name w:val="Grid Table 1 Light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1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2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3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4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5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1 Light - Accent 6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3">
    <w:name w:val="Grid Table 2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1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2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3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4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5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2 - Accent 6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1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2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3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4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5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3 - Accent 6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">
    <w:name w:val="Grid Table 4"/>
    <w:basedOn w:val="72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8">
    <w:name w:val="Grid Table 4 - Accent 1"/>
    <w:basedOn w:val="72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9">
    <w:name w:val="Grid Table 4 - Accent 2"/>
    <w:basedOn w:val="72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0">
    <w:name w:val="Grid Table 4 - Accent 3"/>
    <w:basedOn w:val="72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1">
    <w:name w:val="Grid Table 4 - Accent 4"/>
    <w:basedOn w:val="72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2">
    <w:name w:val="Grid Table 4 - Accent 5"/>
    <w:basedOn w:val="72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3">
    <w:name w:val="Grid Table 4 - Accent 6"/>
    <w:basedOn w:val="72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4">
    <w:name w:val="Grid Table 5 Dark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5">
    <w:name w:val="Grid Table 5 Dark- Accent 1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2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7">
    <w:name w:val="Grid Table 5 Dark - Accent 3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8">
    <w:name w:val="Grid Table 5 Dark- Accent 4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5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90">
    <w:name w:val="Grid Table 5 Dark - Accent 6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1">
    <w:name w:val="Grid Table 6 Colorful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92">
    <w:name w:val="Grid Table 6 Colorful - Accent 1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93">
    <w:name w:val="Grid Table 6 Colorful - Accent 2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94">
    <w:name w:val="Grid Table 6 Colorful - Accent 3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95">
    <w:name w:val="Grid Table 6 Colorful - Accent 4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96">
    <w:name w:val="Grid Table 6 Colorful - Accent 5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97">
    <w:name w:val="Grid Table 6 Colorful - Accent 6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98">
    <w:name w:val="Grid Table 7 Colorful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1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3e70a3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2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3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5c702f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Liberation Sans" w:hAnsi="Liberation Sans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4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5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7" w:themeColor="accent5" w:themeShade="95"/>
        <w:sz w:val="22"/>
      </w:rPr>
    </w:tblStylePr>
    <w:tblStylePr w:type="firstCol">
      <w:rPr>
        <w:rFonts w:ascii="Liberation Sans" w:hAnsi="Liberation Sans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4">
    <w:name w:val="Grid Table 7 Colorful - Accent 6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05307" w:themeColor="accent6" w:themeShade="95"/>
        <w:sz w:val="22"/>
      </w:rPr>
    </w:tblStylePr>
    <w:tblStylePr w:type="firstCol">
      <w:rPr>
        <w:rFonts w:ascii="Liberation Sans" w:hAnsi="Liberation Sans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5">
    <w:name w:val="List Table 1 Light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1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2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3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4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5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1 Light - Accent 6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2">
    <w:name w:val="List Table 2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3">
    <w:name w:val="List Table 2 - Accent 1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4">
    <w:name w:val="List Table 2 - Accent 2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5">
    <w:name w:val="List Table 2 - Accent 3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6">
    <w:name w:val="List Table 2 - Accent 4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7">
    <w:name w:val="List Table 2 - Accent 5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8">
    <w:name w:val="List Table 2 - Accent 6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9">
    <w:name w:val="List Table 3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1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2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3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4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5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3 - Accent 6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1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2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3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4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5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4 - Accent 6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3">
    <w:name w:val="List Table 5 Dark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4">
    <w:name w:val="List Table 5 Dark - Accent 1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5">
    <w:name w:val="List Table 5 Dark - Accent 2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6">
    <w:name w:val="List Table 5 Dark - Accent 3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7">
    <w:name w:val="List Table 5 Dark - Accent 4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8">
    <w:name w:val="List Table 5 Dark - Accent 5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9">
    <w:name w:val="List Table 5 Dark - Accent 6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40">
    <w:name w:val="List Table 6 Colorful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1">
    <w:name w:val="List Table 6 Colorful - Accent 1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2">
    <w:name w:val="List Table 6 Colorful - Accent 2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3">
    <w:name w:val="List Table 6 Colorful - Accent 3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4">
    <w:name w:val="List Table 6 Colorful - Accent 4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5">
    <w:name w:val="List Table 6 Colorful - Accent 5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6">
    <w:name w:val="List Table 6 Colorful - Accent 6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7">
    <w:name w:val="List Table 7 Colorful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148">
    <w:name w:val="List Table 7 Colorful - Accent 1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2a4b71" w:themeColor="accent1" w:themeShade="95"/>
        <w:sz w:val="22"/>
      </w:rPr>
    </w:tblStylePr>
    <w:tblStylePr w:type="firstCol">
      <w:rPr>
        <w:rFonts w:ascii="Liberation Sans" w:hAnsi="Liberation Sans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Liberation Sans" w:hAnsi="Liberation Sans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2a4b71" w:themeColor="accent1" w:themeShade="95"/>
        <w:sz w:val="22"/>
      </w:rPr>
    </w:tblStylePr>
  </w:style>
  <w:style w:type="table" w:styleId="149">
    <w:name w:val="List Table 7 Colorful - Accent 2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9c3a37" w:themeColor="accent2" w:themeTint="97" w:themeShade="95"/>
        <w:sz w:val="22"/>
      </w:rPr>
    </w:tblStylePr>
  </w:style>
  <w:style w:type="table" w:styleId="150">
    <w:name w:val="List Table 7 Colorful - Accent 3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7c983f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Liberation Sans" w:hAnsi="Liberation Sans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7c983f" w:themeColor="accent3" w:themeTint="98" w:themeShade="95"/>
        <w:sz w:val="22"/>
      </w:rPr>
    </w:tblStylePr>
  </w:style>
  <w:style w:type="table" w:styleId="151">
    <w:name w:val="List Table 7 Colorful - Accent 4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664f82" w:themeColor="accent4" w:themeTint="9A" w:themeShade="95"/>
        <w:sz w:val="22"/>
      </w:rPr>
    </w:tblStylePr>
  </w:style>
  <w:style w:type="table" w:styleId="152">
    <w:name w:val="List Table 7 Colorful - Accent 5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338aa0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338aa0" w:themeColor="accent5" w:themeTint="9A" w:themeShade="95"/>
        <w:sz w:val="22"/>
      </w:rPr>
    </w:tblStylePr>
  </w:style>
  <w:style w:type="table" w:styleId="153">
    <w:name w:val="List Table 7 Colorful - Accent 6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d9680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Liberation Sans" w:hAnsi="Liberation Sans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d9680c" w:themeColor="accent6" w:themeTint="98" w:themeShade="95"/>
        <w:sz w:val="22"/>
      </w:rPr>
    </w:tblStylePr>
  </w:style>
  <w:style w:type="table" w:styleId="154">
    <w:name w:val="Lined - Accent"/>
    <w:basedOn w:val="72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5">
    <w:name w:val="Lined - Accent 1"/>
    <w:basedOn w:val="72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6">
    <w:name w:val="Lined - Accent 2"/>
    <w:basedOn w:val="72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7">
    <w:name w:val="Lined - Accent 3"/>
    <w:basedOn w:val="72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8">
    <w:name w:val="Lined - Accent 4"/>
    <w:basedOn w:val="72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9">
    <w:name w:val="Lined - Accent 5"/>
    <w:basedOn w:val="72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0">
    <w:name w:val="Lined - Accent 6"/>
    <w:basedOn w:val="72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1">
    <w:name w:val="Bordered &amp; Lined - Accent"/>
    <w:basedOn w:val="72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2">
    <w:name w:val="Bordered &amp; Lined - Accent 1"/>
    <w:basedOn w:val="72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3">
    <w:name w:val="Bordered &amp; Lined - Accent 2"/>
    <w:basedOn w:val="72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4">
    <w:name w:val="Bordered &amp; Lined - Accent 3"/>
    <w:basedOn w:val="72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5">
    <w:name w:val="Bordered &amp; Lined - Accent 4"/>
    <w:basedOn w:val="72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6">
    <w:name w:val="Bordered &amp; Lined - Accent 5"/>
    <w:basedOn w:val="72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7">
    <w:name w:val="Bordered &amp; Lined - Accent 6"/>
    <w:basedOn w:val="72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8">
    <w:name w:val="Bordered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9">
    <w:name w:val="Bordered - Accent 1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70">
    <w:name w:val="Bordered - Accent 2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1">
    <w:name w:val="Bordered - Accent 3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2">
    <w:name w:val="Bordered - Accent 4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3">
    <w:name w:val="Bordered - Accent 5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4">
    <w:name w:val="Bordered - Accent 6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176">
    <w:name w:val="footnote text"/>
    <w:basedOn w:val="724"/>
    <w:link w:val="177"/>
    <w:uiPriority w:val="99"/>
    <w:semiHidden/>
    <w:unhideWhenUsed/>
    <w:pPr>
      <w:spacing w:after="40" w:line="240" w:lineRule="auto"/>
    </w:pPr>
    <w:rPr>
      <w:sz w:val="18"/>
    </w:rPr>
  </w:style>
  <w:style w:type="character" w:styleId="177">
    <w:name w:val="Footnote Text Char"/>
    <w:link w:val="176"/>
    <w:uiPriority w:val="99"/>
    <w:rPr>
      <w:sz w:val="18"/>
    </w:rPr>
  </w:style>
  <w:style w:type="character" w:styleId="178">
    <w:name w:val="footnote reference"/>
    <w:basedOn w:val="728"/>
    <w:uiPriority w:val="99"/>
    <w:unhideWhenUsed/>
    <w:rPr>
      <w:vertAlign w:val="superscript"/>
    </w:rPr>
  </w:style>
  <w:style w:type="paragraph" w:styleId="179">
    <w:name w:val="endnote text"/>
    <w:basedOn w:val="724"/>
    <w:link w:val="180"/>
    <w:uiPriority w:val="99"/>
    <w:semiHidden/>
    <w:unhideWhenUsed/>
    <w:pPr>
      <w:spacing w:after="0" w:line="240" w:lineRule="auto"/>
    </w:pPr>
    <w:rPr>
      <w:sz w:val="20"/>
    </w:rPr>
  </w:style>
  <w:style w:type="character" w:styleId="180">
    <w:name w:val="Endnote Text Char"/>
    <w:link w:val="179"/>
    <w:uiPriority w:val="99"/>
    <w:rPr>
      <w:sz w:val="20"/>
    </w:rPr>
  </w:style>
  <w:style w:type="character" w:styleId="181">
    <w:name w:val="endnote reference"/>
    <w:basedOn w:val="728"/>
    <w:uiPriority w:val="99"/>
    <w:semiHidden/>
    <w:unhideWhenUsed/>
    <w:rPr>
      <w:vertAlign w:val="superscript"/>
    </w:rPr>
  </w:style>
  <w:style w:type="paragraph" w:styleId="182">
    <w:name w:val="toc 1"/>
    <w:basedOn w:val="724"/>
    <w:next w:val="724"/>
    <w:uiPriority w:val="39"/>
    <w:unhideWhenUsed/>
    <w:pPr>
      <w:ind w:left="0" w:right="0" w:firstLine="0"/>
      <w:spacing w:after="57"/>
    </w:pPr>
  </w:style>
  <w:style w:type="paragraph" w:styleId="183">
    <w:name w:val="toc 2"/>
    <w:basedOn w:val="724"/>
    <w:next w:val="724"/>
    <w:uiPriority w:val="39"/>
    <w:unhideWhenUsed/>
    <w:pPr>
      <w:ind w:left="283" w:right="0" w:firstLine="0"/>
      <w:spacing w:after="57"/>
    </w:pPr>
  </w:style>
  <w:style w:type="paragraph" w:styleId="184">
    <w:name w:val="toc 3"/>
    <w:basedOn w:val="724"/>
    <w:next w:val="724"/>
    <w:uiPriority w:val="39"/>
    <w:unhideWhenUsed/>
    <w:pPr>
      <w:ind w:left="567" w:right="0" w:firstLine="0"/>
      <w:spacing w:after="57"/>
    </w:pPr>
  </w:style>
  <w:style w:type="paragraph" w:styleId="185">
    <w:name w:val="toc 4"/>
    <w:basedOn w:val="724"/>
    <w:next w:val="724"/>
    <w:uiPriority w:val="39"/>
    <w:unhideWhenUsed/>
    <w:pPr>
      <w:ind w:left="850" w:right="0" w:firstLine="0"/>
      <w:spacing w:after="57"/>
    </w:pPr>
  </w:style>
  <w:style w:type="paragraph" w:styleId="186">
    <w:name w:val="toc 5"/>
    <w:basedOn w:val="724"/>
    <w:next w:val="724"/>
    <w:uiPriority w:val="39"/>
    <w:unhideWhenUsed/>
    <w:pPr>
      <w:ind w:left="1134" w:right="0" w:firstLine="0"/>
      <w:spacing w:after="57"/>
    </w:pPr>
  </w:style>
  <w:style w:type="paragraph" w:styleId="187">
    <w:name w:val="toc 6"/>
    <w:basedOn w:val="724"/>
    <w:next w:val="724"/>
    <w:uiPriority w:val="39"/>
    <w:unhideWhenUsed/>
    <w:pPr>
      <w:ind w:left="1417" w:right="0" w:firstLine="0"/>
      <w:spacing w:after="57"/>
    </w:pPr>
  </w:style>
  <w:style w:type="paragraph" w:styleId="188">
    <w:name w:val="toc 7"/>
    <w:basedOn w:val="724"/>
    <w:next w:val="724"/>
    <w:uiPriority w:val="39"/>
    <w:unhideWhenUsed/>
    <w:pPr>
      <w:ind w:left="1701" w:right="0" w:firstLine="0"/>
      <w:spacing w:after="57"/>
    </w:pPr>
  </w:style>
  <w:style w:type="paragraph" w:styleId="189">
    <w:name w:val="toc 8"/>
    <w:basedOn w:val="724"/>
    <w:next w:val="724"/>
    <w:uiPriority w:val="39"/>
    <w:unhideWhenUsed/>
    <w:pPr>
      <w:ind w:left="1984" w:right="0" w:firstLine="0"/>
      <w:spacing w:after="57"/>
    </w:pPr>
  </w:style>
  <w:style w:type="paragraph" w:styleId="190">
    <w:name w:val="toc 9"/>
    <w:basedOn w:val="724"/>
    <w:next w:val="724"/>
    <w:uiPriority w:val="39"/>
    <w:unhideWhenUsed/>
    <w:pPr>
      <w:ind w:left="2268" w:right="0" w:firstLine="0"/>
      <w:spacing w:after="57"/>
    </w:pPr>
  </w:style>
  <w:style w:type="paragraph" w:styleId="191">
    <w:name w:val="TOC Heading"/>
    <w:uiPriority w:val="39"/>
    <w:unhideWhenUsed/>
  </w:style>
  <w:style w:type="paragraph" w:styleId="192">
    <w:name w:val="table of figures"/>
    <w:basedOn w:val="724"/>
    <w:next w:val="724"/>
    <w:uiPriority w:val="99"/>
    <w:unhideWhenUsed/>
    <w:pPr>
      <w:spacing w:after="0" w:afterAutospacing="0"/>
    </w:pPr>
  </w:style>
  <w:style w:type="paragraph" w:styleId="724" w:default="1">
    <w:name w:val="Normal"/>
    <w:qFormat/>
    <w:rPr>
      <w:sz w:val="24"/>
      <w:szCs w:val="24"/>
    </w:rPr>
  </w:style>
  <w:style w:type="paragraph" w:styleId="725">
    <w:name w:val="Heading 1"/>
    <w:basedOn w:val="724"/>
    <w:next w:val="724"/>
    <w:link w:val="743"/>
    <w:qFormat/>
    <w:pPr>
      <w:keepNext/>
      <w:spacing w:before="240" w:after="60"/>
      <w:outlineLvl w:val="0"/>
    </w:pPr>
    <w:rPr>
      <w:rFonts w:ascii="Cambria" w:hAnsi="Cambria"/>
      <w:b/>
      <w:bCs/>
      <w:sz w:val="32"/>
      <w:szCs w:val="32"/>
    </w:rPr>
  </w:style>
  <w:style w:type="paragraph" w:styleId="726">
    <w:name w:val="Heading 2"/>
    <w:basedOn w:val="724"/>
    <w:next w:val="724"/>
    <w:qFormat/>
    <w:pPr>
      <w:jc w:val="center"/>
      <w:keepNext/>
      <w:outlineLvl w:val="1"/>
    </w:pPr>
    <w:rPr>
      <w:b/>
      <w:sz w:val="36"/>
      <w:szCs w:val="20"/>
    </w:rPr>
  </w:style>
  <w:style w:type="paragraph" w:styleId="727">
    <w:name w:val="Heading 3"/>
    <w:basedOn w:val="724"/>
    <w:next w:val="724"/>
    <w:link w:val="755"/>
    <w:semiHidden/>
    <w:unhideWhenUsed/>
    <w:qFormat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styleId="728" w:default="1">
    <w:name w:val="Default Paragraph Font"/>
    <w:uiPriority w:val="1"/>
    <w:semiHidden/>
    <w:unhideWhenUsed/>
  </w:style>
  <w:style w:type="table" w:styleId="72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30" w:default="1">
    <w:name w:val="No List"/>
    <w:uiPriority w:val="99"/>
    <w:semiHidden/>
    <w:unhideWhenUsed/>
  </w:style>
  <w:style w:type="paragraph" w:styleId="731">
    <w:name w:val="Body Text Indent 2"/>
    <w:basedOn w:val="724"/>
    <w:pPr>
      <w:ind w:left="283"/>
      <w:spacing w:after="120" w:line="480" w:lineRule="auto"/>
    </w:pPr>
  </w:style>
  <w:style w:type="paragraph" w:styleId="732" w:customStyle="1">
    <w:name w:val="ConsDocList"/>
    <w:pPr>
      <w:widowControl w:val="off"/>
    </w:pPr>
    <w:rPr>
      <w:rFonts w:ascii="Courier New" w:hAnsi="Courier New" w:cs="Courier New"/>
      <w:sz w:val="22"/>
      <w:szCs w:val="22"/>
    </w:rPr>
  </w:style>
  <w:style w:type="paragraph" w:styleId="733">
    <w:name w:val="Body Text"/>
    <w:basedOn w:val="724"/>
    <w:pPr>
      <w:spacing w:after="120"/>
    </w:pPr>
    <w:rPr>
      <w:sz w:val="26"/>
      <w:szCs w:val="20"/>
    </w:rPr>
  </w:style>
  <w:style w:type="paragraph" w:styleId="734">
    <w:name w:val="Body Text Indent"/>
    <w:basedOn w:val="724"/>
    <w:pPr>
      <w:ind w:left="283"/>
      <w:spacing w:after="120"/>
    </w:pPr>
  </w:style>
  <w:style w:type="paragraph" w:styleId="735">
    <w:name w:val="Header"/>
    <w:basedOn w:val="724"/>
    <w:link w:val="736"/>
    <w:uiPriority w:val="99"/>
    <w:pPr>
      <w:tabs>
        <w:tab w:val="center" w:pos="4677" w:leader="none"/>
        <w:tab w:val="right" w:pos="9355" w:leader="none"/>
      </w:tabs>
    </w:pPr>
  </w:style>
  <w:style w:type="character" w:styleId="736" w:customStyle="1">
    <w:name w:val="Верхний колонтитул Знак"/>
    <w:link w:val="735"/>
    <w:uiPriority w:val="99"/>
    <w:rPr>
      <w:sz w:val="24"/>
      <w:szCs w:val="24"/>
    </w:rPr>
  </w:style>
  <w:style w:type="paragraph" w:styleId="737">
    <w:name w:val="Footer"/>
    <w:basedOn w:val="724"/>
    <w:link w:val="738"/>
    <w:uiPriority w:val="99"/>
    <w:pPr>
      <w:tabs>
        <w:tab w:val="center" w:pos="4677" w:leader="none"/>
        <w:tab w:val="right" w:pos="9355" w:leader="none"/>
      </w:tabs>
    </w:pPr>
  </w:style>
  <w:style w:type="character" w:styleId="738" w:customStyle="1">
    <w:name w:val="Нижний колонтитул Знак"/>
    <w:link w:val="737"/>
    <w:uiPriority w:val="99"/>
    <w:rPr>
      <w:sz w:val="24"/>
      <w:szCs w:val="24"/>
    </w:rPr>
  </w:style>
  <w:style w:type="paragraph" w:styleId="739" w:customStyle="1">
    <w:name w:val="Style4"/>
    <w:basedOn w:val="724"/>
    <w:uiPriority w:val="99"/>
    <w:pPr>
      <w:jc w:val="both"/>
      <w:spacing w:line="274" w:lineRule="exact"/>
      <w:widowControl w:val="off"/>
    </w:pPr>
  </w:style>
  <w:style w:type="character" w:styleId="740" w:customStyle="1">
    <w:name w:val="Font Style12"/>
    <w:uiPriority w:val="99"/>
    <w:rPr>
      <w:rFonts w:ascii="Times New Roman" w:hAnsi="Times New Roman" w:cs="Times New Roman"/>
      <w:b/>
      <w:bCs/>
      <w:sz w:val="26"/>
      <w:szCs w:val="26"/>
    </w:rPr>
  </w:style>
  <w:style w:type="paragraph" w:styleId="741" w:customStyle="1">
    <w:name w:val="ConsNormal"/>
    <w:pPr>
      <w:ind w:firstLine="720"/>
      <w:widowControl w:val="off"/>
    </w:pPr>
    <w:rPr>
      <w:rFonts w:ascii="Arial" w:hAnsi="Arial" w:cs="Arial"/>
    </w:rPr>
  </w:style>
  <w:style w:type="paragraph" w:styleId="742" w:customStyle="1">
    <w:name w:val="ConsNonformat"/>
    <w:pPr>
      <w:widowControl w:val="off"/>
    </w:pPr>
    <w:rPr>
      <w:rFonts w:ascii="Consultant" w:hAnsi="Consultant" w:eastAsia="Arial"/>
      <w:lang w:eastAsia="ar-SA"/>
    </w:rPr>
  </w:style>
  <w:style w:type="character" w:styleId="743" w:customStyle="1">
    <w:name w:val="Заголовок 1 Знак"/>
    <w:link w:val="725"/>
    <w:rPr>
      <w:rFonts w:ascii="Cambria" w:hAnsi="Cambria" w:eastAsia="Times New Roman" w:cs="Times New Roman"/>
      <w:b/>
      <w:bCs/>
      <w:sz w:val="32"/>
      <w:szCs w:val="32"/>
    </w:rPr>
  </w:style>
  <w:style w:type="paragraph" w:styleId="744" w:customStyle="1">
    <w:name w:val="Обычный1"/>
  </w:style>
  <w:style w:type="paragraph" w:styleId="745" w:customStyle="1">
    <w:name w:val="Основной текст 31"/>
    <w:basedOn w:val="724"/>
    <w:pPr>
      <w:jc w:val="both"/>
    </w:pPr>
    <w:rPr>
      <w:rFonts w:ascii="Arial" w:hAnsi="Arial"/>
      <w:szCs w:val="20"/>
    </w:rPr>
  </w:style>
  <w:style w:type="paragraph" w:styleId="746" w:customStyle="1">
    <w:name w:val="Основной текст 21"/>
    <w:basedOn w:val="724"/>
    <w:pPr>
      <w:jc w:val="both"/>
    </w:pPr>
    <w:rPr>
      <w:rFonts w:ascii="Arial" w:hAnsi="Arial"/>
      <w:b/>
      <w:szCs w:val="20"/>
    </w:rPr>
  </w:style>
  <w:style w:type="paragraph" w:styleId="747">
    <w:name w:val="Body Text 2"/>
    <w:basedOn w:val="724"/>
    <w:link w:val="748"/>
    <w:pPr>
      <w:spacing w:after="120" w:line="480" w:lineRule="auto"/>
    </w:pPr>
  </w:style>
  <w:style w:type="character" w:styleId="748" w:customStyle="1">
    <w:name w:val="Основной текст 2 Знак"/>
    <w:link w:val="747"/>
    <w:rPr>
      <w:sz w:val="24"/>
      <w:szCs w:val="24"/>
    </w:rPr>
  </w:style>
  <w:style w:type="table" w:styleId="749">
    <w:name w:val="Table Grid"/>
    <w:basedOn w:val="72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750">
    <w:name w:val="Hyperlink"/>
    <w:rPr>
      <w:color w:val="0000ff"/>
      <w:u w:val="single"/>
    </w:rPr>
  </w:style>
  <w:style w:type="paragraph" w:styleId="751">
    <w:name w:val="List Paragraph"/>
    <w:basedOn w:val="724"/>
    <w:uiPriority w:val="34"/>
    <w:qFormat/>
    <w:pPr>
      <w:contextualSpacing/>
      <w:ind w:left="720"/>
    </w:pPr>
  </w:style>
  <w:style w:type="paragraph" w:styleId="752" w:customStyle="1">
    <w:name w:val="ConsPlusNormal"/>
    <w:pPr>
      <w:ind w:firstLine="720"/>
      <w:widowControl w:val="off"/>
    </w:pPr>
    <w:rPr>
      <w:rFonts w:ascii="Arial" w:hAnsi="Arial" w:cs="Arial"/>
    </w:rPr>
  </w:style>
  <w:style w:type="paragraph" w:styleId="753">
    <w:name w:val="Title"/>
    <w:basedOn w:val="724"/>
    <w:link w:val="754"/>
    <w:qFormat/>
    <w:pPr>
      <w:jc w:val="center"/>
    </w:pPr>
    <w:rPr>
      <w:b/>
      <w:szCs w:val="20"/>
    </w:rPr>
  </w:style>
  <w:style w:type="character" w:styleId="754" w:customStyle="1">
    <w:name w:val="Заголовок Знак"/>
    <w:link w:val="753"/>
    <w:rPr>
      <w:b/>
      <w:sz w:val="24"/>
    </w:rPr>
  </w:style>
  <w:style w:type="character" w:styleId="755" w:customStyle="1">
    <w:name w:val="Заголовок 3 Знак"/>
    <w:link w:val="727"/>
    <w:semiHidden/>
    <w:rPr>
      <w:rFonts w:ascii="Cambria" w:hAnsi="Cambria" w:eastAsia="Times New Roman" w:cs="Times New Roman"/>
      <w:b/>
      <w:bCs/>
      <w:sz w:val="26"/>
      <w:szCs w:val="26"/>
    </w:rPr>
  </w:style>
  <w:style w:type="paragraph" w:styleId="756">
    <w:name w:val="Body Text Indent 3"/>
    <w:basedOn w:val="724"/>
    <w:link w:val="757"/>
    <w:pPr>
      <w:ind w:left="283"/>
      <w:spacing w:after="120"/>
    </w:pPr>
    <w:rPr>
      <w:sz w:val="16"/>
      <w:szCs w:val="16"/>
    </w:rPr>
  </w:style>
  <w:style w:type="character" w:styleId="757" w:customStyle="1">
    <w:name w:val="Основной текст с отступом 3 Знак"/>
    <w:link w:val="756"/>
    <w:rPr>
      <w:sz w:val="16"/>
      <w:szCs w:val="16"/>
    </w:rPr>
  </w:style>
  <w:style w:type="paragraph" w:styleId="758">
    <w:name w:val="Body Text 3"/>
    <w:basedOn w:val="724"/>
    <w:link w:val="759"/>
    <w:uiPriority w:val="99"/>
    <w:pPr>
      <w:spacing w:after="120"/>
      <w:widowControl w:val="off"/>
    </w:pPr>
    <w:rPr>
      <w:sz w:val="16"/>
      <w:szCs w:val="16"/>
    </w:rPr>
  </w:style>
  <w:style w:type="character" w:styleId="759" w:customStyle="1">
    <w:name w:val="Основной текст 3 Знак"/>
    <w:link w:val="758"/>
    <w:uiPriority w:val="99"/>
    <w:rPr>
      <w:sz w:val="16"/>
      <w:szCs w:val="16"/>
    </w:rPr>
  </w:style>
  <w:style w:type="paragraph" w:styleId="760" w:customStyle="1">
    <w:name w:val="Heading"/>
    <w:pPr>
      <w:widowControl w:val="off"/>
    </w:pPr>
    <w:rPr>
      <w:rFonts w:ascii="Arial" w:hAnsi="Arial" w:cs="Arial"/>
      <w:b/>
      <w:bCs/>
      <w:sz w:val="22"/>
      <w:szCs w:val="22"/>
    </w:rPr>
  </w:style>
  <w:style w:type="paragraph" w:styleId="761">
    <w:name w:val="No Spacing"/>
    <w:uiPriority w:val="1"/>
    <w:qFormat/>
    <w:rPr>
      <w:rFonts w:ascii="Calibri" w:hAnsi="Calibri" w:eastAsia="Calibri"/>
      <w:sz w:val="22"/>
      <w:szCs w:val="22"/>
      <w:lang w:eastAsia="en-US"/>
    </w:rPr>
  </w:style>
  <w:style w:type="paragraph" w:styleId="762">
    <w:name w:val="Normal (Web)"/>
    <w:basedOn w:val="724"/>
    <w:uiPriority w:val="99"/>
    <w:unhideWhenUsed/>
    <w:pPr>
      <w:spacing w:before="100" w:beforeAutospacing="1" w:after="100" w:afterAutospacing="1"/>
    </w:pPr>
  </w:style>
  <w:style w:type="paragraph" w:styleId="763">
    <w:name w:val="Balloon Text"/>
    <w:basedOn w:val="724"/>
    <w:link w:val="764"/>
    <w:rPr>
      <w:rFonts w:ascii="Tahoma" w:hAnsi="Tahoma" w:cs="Tahoma"/>
      <w:sz w:val="16"/>
      <w:szCs w:val="16"/>
    </w:rPr>
  </w:style>
  <w:style w:type="character" w:styleId="764" w:customStyle="1">
    <w:name w:val="Текст выноски Знак"/>
    <w:basedOn w:val="728"/>
    <w:link w:val="763"/>
    <w:rPr>
      <w:rFonts w:ascii="Tahoma" w:hAnsi="Tahoma" w:cs="Tahoma"/>
      <w:sz w:val="16"/>
      <w:szCs w:val="16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C7BEDC-5C2F-46FB-9F49-5FC69F1095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r7-office/2025.3.2.1000</Application>
  <Company>OOO Kora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smekalina</dc:creator>
  <cp:lastModifiedBy>Леонтьева Наталья Александровна</cp:lastModifiedBy>
  <cp:revision>18</cp:revision>
  <dcterms:created xsi:type="dcterms:W3CDTF">2024-11-12T02:56:00Z</dcterms:created>
  <dcterms:modified xsi:type="dcterms:W3CDTF">2026-02-25T07:28:56Z</dcterms:modified>
</cp:coreProperties>
</file>